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_GoBack"/>
      <w:bookmarkEnd w:id="0"/>
      <w:r>
        <w:t>Madame, Monsieur</w:t>
      </w:r>
    </w:p>
    <w:p>
      <w:pPr>
        <w:jc w:val="both"/>
      </w:pPr>
      <w:r>
        <w:t>La présente circulaire s’adresse aux établissements scolaires d’enseignement fondamental, ordinaire et spécialisé.</w:t>
      </w:r>
    </w:p>
    <w:p>
      <w:pPr>
        <w:jc w:val="both"/>
      </w:pPr>
      <w:r>
        <w:t xml:space="preserve">Le décret du 2 février 2007 </w:t>
      </w:r>
      <w:r>
        <w:rPr>
          <w:i/>
        </w:rPr>
        <w:t>fixant le statut des directeurs</w:t>
      </w:r>
      <w:r>
        <w:t>, tel que modifié par le décret du 19 juillet 2017, définit les moyens alloués à l’aide spécifique aux directions d’écoles maternelles, primaires et fondamentales de l’enseignement ordinaire et spécialisé.</w:t>
      </w:r>
    </w:p>
    <w:p>
      <w:pPr>
        <w:jc w:val="both"/>
      </w:pPr>
      <w:r>
        <w:t xml:space="preserve">L’octroi de l’aide spécifique aux directions, sous sa nouvelle forme, accompagne la généralisation de l’élaboration et de la mise en œuvre des plans de pilotage par les établissements. </w:t>
      </w:r>
      <w:r>
        <w:rPr>
          <w:rFonts w:cs="Calibri"/>
        </w:rPr>
        <w:t>À</w:t>
      </w:r>
      <w:r>
        <w:t xml:space="preserve"> partir de l’année scolaire 2019-2020, l’aide administrative sera allouée à l’ensemble des établissements de l’enseignement fondamental ordinaire et spécialisé, conformément à l’article 110, § 1bis du décret du 2 février 2007.</w:t>
      </w:r>
    </w:p>
    <w:p>
      <w:pPr>
        <w:jc w:val="both"/>
      </w:pPr>
      <w:r>
        <w:t>Cette circulaire vise à expliciter les modalités d’octroi et d’utilisation de cette aide spécifique destinée à soutenir le directeur dans le cadre de la gestion de son établissement.</w:t>
      </w:r>
    </w:p>
    <w:p>
      <w:pPr>
        <w:jc w:val="both"/>
      </w:pPr>
      <w:r>
        <w:t>Les pouvoirs organisateurs pour l’enseignement subventionné et les chefs d’établissement pour l’enseignement organisé par la Communauté française qui souhaitent optimaliser les moyens alloués par la création d’un centre de gestion ou la prolongation d’un centre de gestion existant trouveront dans cette circulaire les dispositions et les formalités à accomplir pour le nouveau cycle de six ans (2019-2025).</w:t>
      </w:r>
    </w:p>
    <w:p>
      <w:pPr>
        <w:spacing w:after="0"/>
        <w:jc w:val="both"/>
        <w:rPr>
          <w:rFonts w:cs="Calibri"/>
        </w:rPr>
      </w:pPr>
      <w:r>
        <w:rPr>
          <w:rFonts w:cs="Calibri"/>
        </w:rPr>
        <w:t>Je vous remercie de l’attention que vous porterez à la présente circulaire et de votre pleine coopération dans la mise en œuvre des présentes dispositions.</w:t>
      </w:r>
    </w:p>
    <w:p>
      <w:pPr>
        <w:jc w:val="both"/>
        <w:rPr>
          <w:rFonts w:cs="Calibri"/>
        </w:rPr>
      </w:pPr>
    </w:p>
    <w:p>
      <w:pPr>
        <w:spacing w:after="0"/>
        <w:ind w:left="4820"/>
        <w:jc w:val="both"/>
        <w:rPr>
          <w:rFonts w:asciiTheme="minorHAnsi" w:hAnsiTheme="minorHAnsi" w:cstheme="minorHAnsi"/>
        </w:rPr>
      </w:pPr>
      <w:r>
        <w:rPr>
          <w:rFonts w:asciiTheme="minorHAnsi" w:hAnsiTheme="minorHAnsi" w:cstheme="minorHAnsi"/>
        </w:rPr>
        <w:t>Le Directeur général,</w:t>
      </w:r>
    </w:p>
    <w:p>
      <w:pPr>
        <w:spacing w:after="0"/>
        <w:ind w:firstLine="4820"/>
        <w:jc w:val="both"/>
        <w:rPr>
          <w:rFonts w:asciiTheme="minorHAnsi" w:hAnsiTheme="minorHAnsi" w:cstheme="minorHAnsi"/>
        </w:rPr>
      </w:pPr>
    </w:p>
    <w:p>
      <w:pPr>
        <w:spacing w:after="0"/>
        <w:ind w:firstLine="4820"/>
        <w:jc w:val="both"/>
        <w:rPr>
          <w:rFonts w:asciiTheme="minorHAnsi" w:hAnsiTheme="minorHAnsi" w:cstheme="minorHAnsi"/>
        </w:rPr>
      </w:pPr>
    </w:p>
    <w:p>
      <w:pPr>
        <w:spacing w:after="0"/>
        <w:ind w:firstLine="4820"/>
        <w:jc w:val="both"/>
        <w:rPr>
          <w:rFonts w:asciiTheme="minorHAnsi" w:hAnsiTheme="minorHAnsi" w:cstheme="minorHAnsi"/>
        </w:rPr>
      </w:pPr>
    </w:p>
    <w:p>
      <w:pPr>
        <w:spacing w:after="120"/>
        <w:ind w:firstLine="4820"/>
      </w:pPr>
      <w:r>
        <w:rPr>
          <w:rFonts w:asciiTheme="minorHAnsi" w:hAnsiTheme="minorHAnsi" w:cstheme="minorHAnsi"/>
        </w:rPr>
        <w:t>Fabrice AERTS-BANCKEN.</w:t>
      </w:r>
    </w:p>
    <w:p>
      <w:pPr>
        <w:spacing w:after="120"/>
      </w:pPr>
    </w:p>
    <w:p>
      <w:pPr>
        <w:spacing w:after="120"/>
      </w:pPr>
    </w:p>
    <w:p>
      <w:pPr>
        <w:spacing w:after="120"/>
      </w:pPr>
    </w:p>
    <w:p>
      <w:pPr>
        <w:spacing w:after="120"/>
        <w:sectPr>
          <w:footerReference w:type="default" r:id="rId8"/>
          <w:pgSz w:w="11906" w:h="16838"/>
          <w:pgMar w:top="1417" w:right="1417" w:bottom="1417" w:left="1417" w:header="708" w:footer="708" w:gutter="0"/>
          <w:cols w:space="708"/>
          <w:docGrid w:linePitch="360"/>
        </w:sectPr>
      </w:pPr>
    </w:p>
    <w:p>
      <w:pPr>
        <w:pStyle w:val="Chapitre"/>
      </w:pPr>
      <w:r>
        <w:lastRenderedPageBreak/>
        <w:t>Aide spécifique aux directions de l’enseignement fondamental ordinaire et spécialisé</w:t>
      </w:r>
    </w:p>
    <w:p>
      <w:pPr>
        <w:pStyle w:val="Sous-chapitre"/>
      </w:pPr>
      <w:r>
        <w:t>Définition de l’aide spécifique aux directions</w:t>
      </w:r>
    </w:p>
    <w:p>
      <w:pPr>
        <w:spacing w:after="120"/>
        <w:jc w:val="both"/>
      </w:pPr>
      <w:r>
        <w:t xml:space="preserve">L’aide spécifique aux directions d’écoles maternelles, primaires et fondamentales de l’enseignement ordinaire et spécialisé, telle que prévue à l’article 109, 1° du décret du 2 février 2007, recouvre </w:t>
      </w:r>
      <w:r>
        <w:rPr>
          <w:b/>
          <w:u w:val="single"/>
        </w:rPr>
        <w:t>toute forme de soutien administratif ou éducatif en personnel</w:t>
      </w:r>
      <w:r>
        <w:t xml:space="preserve">, mise en œuvre dans le cadre de la gestion d’un établissement scolaire </w:t>
      </w:r>
      <w:r>
        <w:rPr>
          <w:b/>
          <w:u w:val="single"/>
        </w:rPr>
        <w:t>à l’exception des tâches pédagogiques</w:t>
      </w:r>
      <w:r>
        <w:t>.</w:t>
      </w:r>
    </w:p>
    <w:p>
      <w:pPr>
        <w:spacing w:after="120"/>
        <w:jc w:val="both"/>
      </w:pPr>
      <w:r>
        <w:t>Cette aide en personnel est affectée au sein de l’établissement scolaire bénéficiaire ou, après avoir pris, pour chaque année scolaire, l’avis des directions concernées, au sein de structures regroupant plusieurs établissements en vue de permettre la mutualisation de cette aide administrative ou éducative.</w:t>
      </w:r>
    </w:p>
    <w:p>
      <w:pPr>
        <w:spacing w:after="0"/>
        <w:jc w:val="both"/>
      </w:pPr>
      <w:r>
        <w:rPr>
          <w:noProof/>
          <w:lang w:eastAsia="fr-BE"/>
        </w:rPr>
        <mc:AlternateContent>
          <mc:Choice Requires="wps">
            <w:drawing>
              <wp:inline distT="0" distB="0" distL="0" distR="0">
                <wp:extent cx="5762625" cy="466725"/>
                <wp:effectExtent l="0" t="0" r="28575" b="28575"/>
                <wp:docPr id="8" name="Rectangle 8"/>
                <wp:cNvGraphicFramePr/>
                <a:graphic xmlns:a="http://schemas.openxmlformats.org/drawingml/2006/main">
                  <a:graphicData uri="http://schemas.microsoft.com/office/word/2010/wordprocessingShape">
                    <wps:wsp>
                      <wps:cNvSpPr/>
                      <wps:spPr>
                        <a:xfrm>
                          <a:off x="0" y="0"/>
                          <a:ext cx="5762625" cy="466725"/>
                        </a:xfrm>
                        <a:prstGeom prst="rect">
                          <a:avLst/>
                        </a:prstGeom>
                        <a:solidFill>
                          <a:schemeClr val="accent3">
                            <a:lumMod val="60000"/>
                            <a:lumOff val="40000"/>
                          </a:schemeClr>
                        </a:solidFill>
                        <a:ln w="12700">
                          <a:solidFill>
                            <a:schemeClr val="tx1"/>
                          </a:solidFill>
                        </a:ln>
                      </wps:spPr>
                      <wps:style>
                        <a:lnRef idx="1">
                          <a:schemeClr val="accent3"/>
                        </a:lnRef>
                        <a:fillRef idx="2">
                          <a:schemeClr val="accent3"/>
                        </a:fillRef>
                        <a:effectRef idx="1">
                          <a:schemeClr val="accent3"/>
                        </a:effectRef>
                        <a:fontRef idx="minor">
                          <a:schemeClr val="dk1"/>
                        </a:fontRef>
                      </wps:style>
                      <wps:txbx>
                        <w:txbxContent>
                          <w:p>
                            <w:pPr>
                              <w:jc w:val="both"/>
                            </w:pPr>
                            <w:r>
                              <w:t>Les montants alloués sont donc nécessairement affectés à l’engagement de personnel administratif ou éducatif pour assurer l’aide spécifique aux directions.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8" o:spid="_x0000_s1026" style="width:453.75pt;height:3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" fillcolor="#c9c9c9 [1942]" strokecolor="black [3213]" strokeweight="1pt">
                <v:textbox>
                  <w:txbxContent>
                    <w:p>
                      <w:pPr>
                        <w:jc w:val="both"/>
                      </w:pPr>
                      <w:r>
                        <w:t>Les montants alloués sont donc nécessairement affectés à l’engagement de personnel administratif ou éducatif pour assurer l’aide spécifique aux directions.</w:t>
                      </w:r>
                    </w:p>
                  </w:txbxContent>
                </v:textbox>
                <w10:anchorlock/>
              </v:rect>
            </w:pict>
          </mc:Fallback>
        </mc:AlternateContent>
      </w:r>
    </w:p>
    <w:p>
      <w:pPr>
        <w:spacing w:after="120"/>
        <w:jc w:val="both"/>
      </w:pPr>
      <w:r>
        <w:t xml:space="preserve">Chaque chef d’établissement pour l’enseignement organisé par la Communauté française et chaque pouvoir organisateur pour l’enseignement subventionné détermine, </w:t>
      </w:r>
      <w:r>
        <w:rPr>
          <w:b/>
          <w:u w:val="single"/>
        </w:rPr>
        <w:t>après avoir consulté les directions concernées</w:t>
      </w:r>
      <w:r>
        <w:t>, le choix de la forme (à savoir, notamment, le type de contrat du MDP engagé et les titres requis) et des modalités d’utilisation des moyens alloués dans le cadre de l’aide spécifique aux directions. Celui-ci en informe l’organe de concertation sociale qui le concerne.</w:t>
      </w:r>
    </w:p>
    <w:p>
      <w:pPr>
        <w:spacing w:after="120"/>
        <w:jc w:val="both"/>
      </w:pPr>
      <w:r>
        <w:rPr>
          <w:b/>
          <w:u w:val="single"/>
        </w:rPr>
        <w:t>Exception</w:t>
      </w:r>
      <w:r>
        <w:t xml:space="preserve"> : Si au terme des engagements en personnel qui ont pu être réalisés, il </w:t>
      </w:r>
      <w:r>
        <w:rPr>
          <w:b/>
        </w:rPr>
        <w:t>subsiste un montant inférieur à 5.000 euros</w:t>
      </w:r>
      <w:r>
        <w:rPr>
          <w:rStyle w:val="Appelnotedebasdep"/>
          <w:b/>
        </w:rPr>
        <w:footnoteReference w:id="1"/>
      </w:r>
      <w:r>
        <w:t xml:space="preserve">, ce montant peut être utilisé </w:t>
      </w:r>
      <w:r>
        <w:rPr>
          <w:b/>
        </w:rPr>
        <w:t>pour acheter du matériel destiné exclusivement à l’aide administrative, à l’exclusion de tout matériel à visée pédagogique</w:t>
      </w:r>
      <w:r>
        <w:t>.</w:t>
      </w:r>
    </w:p>
    <w:p>
      <w:pPr>
        <w:spacing w:after="0"/>
        <w:jc w:val="both"/>
      </w:pPr>
      <w:r>
        <w:t>Dès lors, sont notamment permises :</w:t>
      </w:r>
    </w:p>
    <w:p>
      <w:pPr>
        <w:pStyle w:val="Paragraphedeliste"/>
        <w:numPr>
          <w:ilvl w:val="0"/>
          <w:numId w:val="8"/>
        </w:numPr>
        <w:spacing w:after="120"/>
        <w:ind w:left="714" w:hanging="357"/>
        <w:jc w:val="both"/>
      </w:pPr>
      <w:r>
        <w:t>Les dépenses matérielles destinées à l’aide à la gestion de l’établissement: matériel informatique (ordinateur, logiciel de gestion, imprimante, scanner,…), leasing photocopieuse, GSM, matériel de bureau, (…).</w:t>
      </w:r>
    </w:p>
    <w:p>
      <w:pPr>
        <w:spacing w:after="0"/>
        <w:jc w:val="both"/>
      </w:pPr>
      <w:r>
        <w:t>A contrario, les dépenses suivantes (liste non exhaustive) ne peuvent pas être liquidées avec les moyens financiers versés au titre de l’aide spécifique aux directions :</w:t>
      </w:r>
    </w:p>
    <w:p>
      <w:pPr>
        <w:pStyle w:val="Paragraphedeliste"/>
        <w:numPr>
          <w:ilvl w:val="0"/>
          <w:numId w:val="8"/>
        </w:numPr>
        <w:spacing w:after="0"/>
        <w:jc w:val="both"/>
      </w:pPr>
      <w:r>
        <w:t>Toutes les dépenses matérielles relatives au pédagogique : matériel à destination des enfants, manuels scolaires, (…) ;</w:t>
      </w:r>
    </w:p>
    <w:p>
      <w:pPr>
        <w:pStyle w:val="Paragraphedeliste"/>
        <w:numPr>
          <w:ilvl w:val="0"/>
          <w:numId w:val="8"/>
        </w:numPr>
        <w:spacing w:after="0"/>
        <w:jc w:val="both"/>
      </w:pPr>
      <w:r>
        <w:t>Toutes les dépenses matérielles ne constituant pas une aide à la gestion de l’établissement: mobilier de classe, téléviseur, appareil photo, percolateur, (…) ;</w:t>
      </w:r>
    </w:p>
    <w:p>
      <w:pPr>
        <w:pStyle w:val="Paragraphedeliste"/>
        <w:numPr>
          <w:ilvl w:val="0"/>
          <w:numId w:val="8"/>
        </w:numPr>
        <w:spacing w:after="0"/>
        <w:jc w:val="both"/>
      </w:pPr>
      <w:r>
        <w:t>Les dépenses immobilières : rénovation de façade, remplacement de châssis, remplacement de chaudière, (…) ;</w:t>
      </w:r>
    </w:p>
    <w:p>
      <w:pPr>
        <w:pStyle w:val="Paragraphedeliste"/>
        <w:numPr>
          <w:ilvl w:val="0"/>
          <w:numId w:val="8"/>
        </w:numPr>
        <w:spacing w:after="0"/>
        <w:jc w:val="both"/>
      </w:pPr>
      <w:r>
        <w:t>Les dépenses d’entretien : nettoyage et rénovation des locaux, (…) ;</w:t>
      </w:r>
    </w:p>
    <w:p>
      <w:pPr>
        <w:pStyle w:val="Paragraphedeliste"/>
        <w:numPr>
          <w:ilvl w:val="0"/>
          <w:numId w:val="8"/>
        </w:numPr>
        <w:spacing w:after="120"/>
        <w:ind w:left="714" w:hanging="357"/>
        <w:jc w:val="both"/>
      </w:pPr>
      <w:r>
        <w:t>Les formations de tous les membres du personnel.</w:t>
      </w:r>
    </w:p>
    <w:p>
      <w:pPr>
        <w:spacing w:after="120"/>
        <w:jc w:val="both"/>
      </w:pPr>
    </w:p>
    <w:p>
      <w:pPr>
        <w:pStyle w:val="Sous-chapitre"/>
        <w:keepNext/>
      </w:pPr>
      <w:r>
        <w:lastRenderedPageBreak/>
        <w:t>Écoles bénéficiaires et calcul des moyens alloués</w:t>
      </w:r>
    </w:p>
    <w:p>
      <w:pPr>
        <w:keepNext/>
        <w:spacing w:after="120"/>
        <w:jc w:val="both"/>
      </w:pPr>
      <w:r>
        <w:t>Les moyens alloués pour l’aide spécifique aux directions sont octroyés annuellement.</w:t>
      </w:r>
    </w:p>
    <w:p>
      <w:pPr>
        <w:keepNext/>
        <w:spacing w:after="120"/>
        <w:jc w:val="both"/>
        <w:rPr>
          <w:b/>
        </w:rPr>
      </w:pPr>
      <w:r>
        <w:rPr>
          <w:b/>
          <w:u w:val="single"/>
        </w:rPr>
        <w:t>Ces moyens sont attribués selon les dispositions suivantes :</w:t>
      </w:r>
    </w:p>
    <w:p>
      <w:pPr>
        <w:pStyle w:val="Paragraphedeliste"/>
        <w:keepNext/>
        <w:numPr>
          <w:ilvl w:val="0"/>
          <w:numId w:val="2"/>
        </w:numPr>
        <w:spacing w:after="120"/>
        <w:ind w:left="426" w:hanging="426"/>
        <w:contextualSpacing w:val="0"/>
        <w:jc w:val="both"/>
      </w:pPr>
      <w:r>
        <w:t xml:space="preserve">Ils sont alloués aux écoles qui ont droit à une </w:t>
      </w:r>
      <w:r>
        <w:rPr>
          <w:b/>
        </w:rPr>
        <w:t xml:space="preserve">direction </w:t>
      </w:r>
      <w:r>
        <w:rPr>
          <w:b/>
          <w:u w:val="single"/>
        </w:rPr>
        <w:t>sans classe</w:t>
      </w:r>
      <w:r>
        <w:rPr>
          <w:b/>
        </w:rPr>
        <w:t xml:space="preserve"> dans l'enseignement ordinaire ou à une direction qui n'est pas tenue par une charge d'enseignement dans l'enseignement spécialisé</w:t>
      </w:r>
      <w:r>
        <w:t>, soit :</w:t>
      </w:r>
    </w:p>
    <w:p>
      <w:pPr>
        <w:pStyle w:val="Paragraphedeliste"/>
        <w:numPr>
          <w:ilvl w:val="1"/>
          <w:numId w:val="2"/>
        </w:numPr>
        <w:spacing w:after="120"/>
        <w:ind w:left="993" w:hanging="284"/>
        <w:contextualSpacing w:val="0"/>
        <w:jc w:val="both"/>
      </w:pPr>
      <w:r>
        <w:rPr>
          <w:u w:val="single"/>
        </w:rPr>
        <w:t>dans l'enseignement ordinaire</w:t>
      </w:r>
      <w:r>
        <w:t xml:space="preserve">, lorsque le nombre d’élèves régulièrement inscrits au 15 janvier précédent est égal ou </w:t>
      </w:r>
      <w:r>
        <w:rPr>
          <w:b/>
        </w:rPr>
        <w:t>supérieur à 180</w:t>
      </w:r>
      <w:r>
        <w:t xml:space="preserve">, </w:t>
      </w:r>
      <w:r>
        <w:rPr>
          <w:b/>
        </w:rPr>
        <w:t>en tenant compte des coefficients 1,5</w:t>
      </w:r>
      <w:r>
        <w:t xml:space="preserve"> ;</w:t>
      </w:r>
    </w:p>
    <w:p>
      <w:pPr>
        <w:pStyle w:val="Paragraphedeliste"/>
        <w:numPr>
          <w:ilvl w:val="1"/>
          <w:numId w:val="2"/>
        </w:numPr>
        <w:spacing w:before="120" w:after="120"/>
        <w:ind w:left="993" w:hanging="284"/>
        <w:contextualSpacing w:val="0"/>
        <w:jc w:val="both"/>
      </w:pPr>
      <w:r>
        <w:rPr>
          <w:u w:val="single"/>
        </w:rPr>
        <w:t>dans l’enseignement spécialisé</w:t>
      </w:r>
      <w:r>
        <w:t xml:space="preserve">, lorsque le nombre total d'élèves ci-dessous est égal ou </w:t>
      </w:r>
      <w:r>
        <w:rPr>
          <w:b/>
        </w:rPr>
        <w:t>supérieur à 180</w:t>
      </w:r>
      <w:r>
        <w:t xml:space="preserve"> :</w:t>
      </w:r>
    </w:p>
    <w:p>
      <w:pPr>
        <w:pStyle w:val="Paragraphedeliste"/>
        <w:numPr>
          <w:ilvl w:val="2"/>
          <w:numId w:val="2"/>
        </w:numPr>
        <w:spacing w:after="120"/>
        <w:ind w:left="1560" w:hanging="284"/>
        <w:contextualSpacing w:val="0"/>
        <w:jc w:val="both"/>
      </w:pPr>
      <w:r>
        <w:t xml:space="preserve">les élèves réguliers </w:t>
      </w:r>
      <w:proofErr w:type="gramStart"/>
      <w:r>
        <w:t>des types</w:t>
      </w:r>
      <w:proofErr w:type="gramEnd"/>
      <w:r>
        <w:t xml:space="preserve"> 1, 2, 3, 4, 6, 7 et 8 au 15 janvier précédent ;</w:t>
      </w:r>
    </w:p>
    <w:p>
      <w:pPr>
        <w:pStyle w:val="Paragraphedeliste"/>
        <w:numPr>
          <w:ilvl w:val="2"/>
          <w:numId w:val="2"/>
        </w:numPr>
        <w:spacing w:after="120"/>
        <w:ind w:left="1560" w:hanging="284"/>
        <w:contextualSpacing w:val="0"/>
        <w:jc w:val="both"/>
      </w:pPr>
      <w:r>
        <w:t>la moyenne des présences des élèves réguliers du type 5, durant l'année scolaire précédente si ce type était organisé pendant cette durée, ou durant les 30 premiers jours à compter à partir du début de l'année scolaire ou à partir de la mise en place du type 5 dans les autres cas ;</w:t>
      </w:r>
    </w:p>
    <w:p>
      <w:pPr>
        <w:pStyle w:val="Paragraphedeliste"/>
        <w:numPr>
          <w:ilvl w:val="2"/>
          <w:numId w:val="2"/>
        </w:numPr>
        <w:spacing w:after="120"/>
        <w:ind w:left="1560" w:hanging="284"/>
        <w:contextualSpacing w:val="0"/>
        <w:jc w:val="both"/>
      </w:pPr>
      <w:r>
        <w:t>les élèves en intégration permanente totale.</w:t>
      </w:r>
    </w:p>
    <w:p>
      <w:pPr>
        <w:pStyle w:val="Paragraphedeliste"/>
        <w:numPr>
          <w:ilvl w:val="0"/>
          <w:numId w:val="3"/>
        </w:numPr>
        <w:spacing w:after="120"/>
        <w:ind w:left="426" w:hanging="426"/>
        <w:jc w:val="both"/>
      </w:pPr>
      <w:r>
        <w:t xml:space="preserve">Ils sont calculés sur la base du nombre d’élèves régulièrement inscrits au 15 janvier précédent en maternelle et en primaire, </w:t>
      </w:r>
      <w:r>
        <w:rPr>
          <w:b/>
        </w:rPr>
        <w:t>chaque élève comptant pour une unité</w:t>
      </w:r>
      <w:r>
        <w:t>.</w:t>
      </w:r>
    </w:p>
    <w:p>
      <w:pPr>
        <w:keepNext/>
        <w:jc w:val="both"/>
        <w:rPr>
          <w:b/>
        </w:rPr>
      </w:pPr>
      <w:r>
        <w:rPr>
          <w:b/>
          <w:u w:val="single"/>
        </w:rPr>
        <w:t>Détermination du montant forfaitaire par élève régulièrement inscrit :</w:t>
      </w:r>
    </w:p>
    <w:p>
      <w:pPr>
        <w:keepNext/>
        <w:spacing w:after="0"/>
        <w:jc w:val="both"/>
      </w:pPr>
      <w:r>
        <w:t>Pour l’année scolaire 2017-2018, les montants forfaitaires par élève ont été fixés à :</w:t>
      </w:r>
    </w:p>
    <w:p>
      <w:pPr>
        <w:pStyle w:val="Paragraphedeliste"/>
        <w:keepNext/>
        <w:numPr>
          <w:ilvl w:val="0"/>
          <w:numId w:val="4"/>
        </w:numPr>
        <w:spacing w:after="0"/>
        <w:ind w:left="284" w:hanging="284"/>
        <w:contextualSpacing w:val="0"/>
        <w:jc w:val="both"/>
      </w:pPr>
      <w:r>
        <w:rPr>
          <w:b/>
        </w:rPr>
        <w:t>60 euros</w:t>
      </w:r>
      <w:r>
        <w:t xml:space="preserve">, pour un établissement d’enseignement maternel, primaire et fondamental ordinaire. </w:t>
      </w:r>
    </w:p>
    <w:p>
      <w:pPr>
        <w:pStyle w:val="Paragraphedeliste"/>
        <w:keepNext/>
        <w:numPr>
          <w:ilvl w:val="0"/>
          <w:numId w:val="4"/>
        </w:numPr>
        <w:spacing w:after="120"/>
        <w:ind w:left="284" w:hanging="284"/>
        <w:contextualSpacing w:val="0"/>
        <w:jc w:val="both"/>
      </w:pPr>
      <w:r>
        <w:rPr>
          <w:b/>
        </w:rPr>
        <w:t>95 euros</w:t>
      </w:r>
      <w:r>
        <w:t>, pour un établissement d’enseignement maternel, primaire et fondamental spécialisé.</w:t>
      </w:r>
    </w:p>
    <w:p>
      <w:pPr>
        <w:spacing w:after="120"/>
        <w:jc w:val="both"/>
      </w:pPr>
      <w:r>
        <w:t>Pour les années suivantes, ces montants sont indexés annuellement en appliquant aux montants de l’année civile précédente le rapport entre l’indice général des prix à la consommation de janvier de l’année civile en cours et l’indice de janvier de l’année civile précédente.</w:t>
      </w:r>
    </w:p>
    <w:p>
      <w:pPr>
        <w:jc w:val="both"/>
      </w:pPr>
      <w:r>
        <w:t>En outre, pendant 18 années à partir du 1</w:t>
      </w:r>
      <w:r>
        <w:rPr>
          <w:vertAlign w:val="superscript"/>
        </w:rPr>
        <w:t>er</w:t>
      </w:r>
      <w:r>
        <w:t xml:space="preserve"> septembre 2018, un montant indexé de 0,40 euro par élève sera ajouté chaque année au forfait de 60 euros pour l’enseignement fondamental ordinaire,  et un montant indexé de 0,50 euro sera ajouté chaque année au forfait de 95 euros pour l’enseignement fondamental spécialisé.</w:t>
      </w:r>
    </w:p>
    <w:p>
      <w:pPr>
        <w:spacing w:after="0"/>
        <w:jc w:val="both"/>
      </w:pPr>
      <w:r>
        <w:rPr>
          <w:noProof/>
          <w:lang w:eastAsia="fr-BE"/>
        </w:rPr>
        <mc:AlternateContent>
          <mc:Choice Requires="wps">
            <w:drawing>
              <wp:inline distT="0" distB="0" distL="0" distR="0">
                <wp:extent cx="5760720" cy="654843"/>
                <wp:effectExtent l="0" t="0" r="11430" b="12065"/>
                <wp:docPr id="9" name="Rectangle 9"/>
                <wp:cNvGraphicFramePr/>
                <a:graphic xmlns:a="http://schemas.openxmlformats.org/drawingml/2006/main">
                  <a:graphicData uri="http://schemas.microsoft.com/office/word/2010/wordprocessingShape">
                    <wps:wsp>
                      <wps:cNvSpPr/>
                      <wps:spPr>
                        <a:xfrm>
                          <a:off x="0" y="0"/>
                          <a:ext cx="5760720" cy="654843"/>
                        </a:xfrm>
                        <a:prstGeom prst="rect">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after="120"/>
                              <w:jc w:val="both"/>
                              <w:rPr>
                                <w:color w:val="000000" w:themeColor="text1"/>
                              </w:rPr>
                            </w:pPr>
                            <w:r>
                              <w:rPr>
                                <w:b/>
                                <w:color w:val="000000" w:themeColor="text1"/>
                              </w:rPr>
                              <w:t>Pour l’année scolaire 2019-2020</w:t>
                            </w:r>
                            <w:r>
                              <w:rPr>
                                <w:color w:val="000000" w:themeColor="text1"/>
                              </w:rPr>
                              <w:t xml:space="preserve">, les montants forfaitaires par élève s’élèvent donc à </w:t>
                            </w:r>
                            <w:r>
                              <w:rPr>
                                <w:b/>
                                <w:color w:val="000000" w:themeColor="text1"/>
                              </w:rPr>
                              <w:t xml:space="preserve">62,64 euros </w:t>
                            </w:r>
                            <w:r>
                              <w:rPr>
                                <w:color w:val="000000" w:themeColor="text1"/>
                              </w:rPr>
                              <w:t xml:space="preserve">dans l’enseignement fondamental ordinaire et à </w:t>
                            </w:r>
                            <w:r>
                              <w:rPr>
                                <w:b/>
                                <w:color w:val="000000" w:themeColor="text1"/>
                              </w:rPr>
                              <w:t>99,05 euros</w:t>
                            </w:r>
                            <w:r>
                              <w:rPr>
                                <w:color w:val="000000" w:themeColor="text1"/>
                              </w:rPr>
                              <w:t xml:space="preserve"> dans l’enseignement fondamental spécialisé.</w:t>
                            </w:r>
                          </w:p>
                          <w:p>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9" o:spid="_x0000_s1027" style="width:453.6pt;height:5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" fillcolor="#c9c9c9 [1942]" strokecolor="black [3213]" strokeweight="1pt">
                <v:textbox>
                  <w:txbxContent>
                    <w:p>
                      <w:pPr>
                        <w:spacing w:after="120"/>
                        <w:jc w:val="both"/>
                        <w:rPr>
                          <w:color w:val="000000" w:themeColor="text1"/>
                        </w:rPr>
                      </w:pPr>
                      <w:r>
                        <w:rPr>
                          <w:b/>
                          <w:color w:val="000000" w:themeColor="text1"/>
                        </w:rPr>
                        <w:t>Pour l’année scolaire 2019-2020</w:t>
                      </w:r>
                      <w:r>
                        <w:rPr>
                          <w:color w:val="000000" w:themeColor="text1"/>
                        </w:rPr>
                        <w:t xml:space="preserve">, les montants forfaitaires par élève s’élèvent donc à </w:t>
                      </w:r>
                      <w:r>
                        <w:rPr>
                          <w:b/>
                          <w:color w:val="000000" w:themeColor="text1"/>
                        </w:rPr>
                        <w:t xml:space="preserve">62,64 euros </w:t>
                      </w:r>
                      <w:r>
                        <w:rPr>
                          <w:color w:val="000000" w:themeColor="text1"/>
                        </w:rPr>
                        <w:t xml:space="preserve">dans l’enseignement fondamental ordinaire et à </w:t>
                      </w:r>
                      <w:r>
                        <w:rPr>
                          <w:b/>
                          <w:color w:val="000000" w:themeColor="text1"/>
                        </w:rPr>
                        <w:t>99,05 euros</w:t>
                      </w:r>
                      <w:r>
                        <w:rPr>
                          <w:color w:val="000000" w:themeColor="text1"/>
                        </w:rPr>
                        <w:t xml:space="preserve"> dans l’enseignement fondamental spécialisé.</w:t>
                      </w:r>
                    </w:p>
                    <w:p>
                      <w:pPr>
                        <w:jc w:val="center"/>
                      </w:pPr>
                    </w:p>
                  </w:txbxContent>
                </v:textbox>
                <w10:anchorlock/>
              </v:rect>
            </w:pict>
          </mc:Fallback>
        </mc:AlternateContent>
      </w:r>
    </w:p>
    <w:p>
      <w:pPr>
        <w:pStyle w:val="Sous-chapitre"/>
      </w:pPr>
      <w:r>
        <w:t>Accès, sous condition, à l’aide spécifique aux directions pour les écoles de moins de 180 élèves</w:t>
      </w:r>
    </w:p>
    <w:p>
      <w:pPr>
        <w:spacing w:after="0"/>
        <w:jc w:val="both"/>
      </w:pPr>
      <w:r>
        <w:t xml:space="preserve">Les écoles de moins de 180 élèves peuvent bénéficier de l’aide spécifique aux directions, </w:t>
      </w:r>
      <w:r>
        <w:rPr>
          <w:b/>
          <w:u w:val="single"/>
        </w:rPr>
        <w:t>à condition de</w:t>
      </w:r>
      <w:r>
        <w:t> :</w:t>
      </w:r>
    </w:p>
    <w:p>
      <w:pPr>
        <w:pStyle w:val="Paragraphedeliste"/>
        <w:numPr>
          <w:ilvl w:val="0"/>
          <w:numId w:val="11"/>
        </w:numPr>
        <w:spacing w:after="120"/>
        <w:ind w:left="714" w:hanging="357"/>
        <w:contextualSpacing w:val="0"/>
        <w:jc w:val="both"/>
      </w:pPr>
      <w:r>
        <w:rPr>
          <w:b/>
          <w:u w:val="single"/>
        </w:rPr>
        <w:t>Soit</w:t>
      </w:r>
      <w:r>
        <w:t xml:space="preserve"> faire partie d’un centre de gestion (cf. point 2). Dans ce cas, les écoles sont de facto considérées comme partenaire d’une convention et bénéficient automatiquement de </w:t>
      </w:r>
      <w:r>
        <w:rPr>
          <w:b/>
          <w:u w:val="single"/>
        </w:rPr>
        <w:t>moyens financiers</w:t>
      </w:r>
      <w:r>
        <w:t xml:space="preserve"> dans le cadre de l’aide spécifique aux directions, au même titre que les directions sans classe qui le composent (cf. point 1.2.) ;</w:t>
      </w:r>
    </w:p>
    <w:p>
      <w:pPr>
        <w:pStyle w:val="Paragraphedeliste"/>
        <w:numPr>
          <w:ilvl w:val="0"/>
          <w:numId w:val="11"/>
        </w:numPr>
        <w:spacing w:after="120"/>
        <w:ind w:left="714" w:hanging="357"/>
        <w:contextualSpacing w:val="0"/>
        <w:jc w:val="both"/>
      </w:pPr>
      <w:r>
        <w:rPr>
          <w:b/>
          <w:u w:val="single"/>
        </w:rPr>
        <w:lastRenderedPageBreak/>
        <w:t>Soit</w:t>
      </w:r>
      <w:r>
        <w:t xml:space="preserve"> faire partie d’un partenariat (cf. point 1.3.1) entre plusieurs écoles leur permettant d’atteindre le nombre minimal de 180 élèves régulièrement inscrits au 15 janvier, pour bénéficier de </w:t>
      </w:r>
      <w:r>
        <w:rPr>
          <w:b/>
          <w:u w:val="single"/>
        </w:rPr>
        <w:t>moyens financiers</w:t>
      </w:r>
      <w:r>
        <w:t> ;</w:t>
      </w:r>
    </w:p>
    <w:p>
      <w:pPr>
        <w:pStyle w:val="Paragraphedeliste"/>
        <w:numPr>
          <w:ilvl w:val="0"/>
          <w:numId w:val="11"/>
        </w:numPr>
        <w:spacing w:after="120"/>
        <w:ind w:left="714" w:hanging="357"/>
        <w:jc w:val="both"/>
      </w:pPr>
      <w:r>
        <w:rPr>
          <w:b/>
          <w:u w:val="single"/>
        </w:rPr>
        <w:t>Soit</w:t>
      </w:r>
      <w:r>
        <w:t xml:space="preserve"> demander la transformation de la totalité des moyens financiers relatifs à l’aide spécifique en </w:t>
      </w:r>
      <w:r>
        <w:rPr>
          <w:b/>
          <w:u w:val="single"/>
        </w:rPr>
        <w:t>périodes</w:t>
      </w:r>
      <w:r>
        <w:t xml:space="preserve"> (cf. point 1.3.2), afin de décharger le directeur d’une partie de son temps de classe.</w:t>
      </w:r>
    </w:p>
    <w:p>
      <w:pPr>
        <w:spacing w:after="120"/>
        <w:jc w:val="both"/>
      </w:pPr>
      <w:r>
        <w:rPr>
          <w:noProof/>
          <w:lang w:eastAsia="fr-BE"/>
        </w:rPr>
        <mc:AlternateContent>
          <mc:Choice Requires="wps">
            <w:drawing>
              <wp:inline distT="0" distB="0" distL="0" distR="0">
                <wp:extent cx="5772150" cy="647700"/>
                <wp:effectExtent l="0" t="0" r="19050" b="19050"/>
                <wp:docPr id="1" name="Rectangle 1"/>
                <wp:cNvGraphicFramePr/>
                <a:graphic xmlns:a="http://schemas.openxmlformats.org/drawingml/2006/main">
                  <a:graphicData uri="http://schemas.microsoft.com/office/word/2010/wordprocessingShape">
                    <wps:wsp>
                      <wps:cNvSpPr/>
                      <wps:spPr>
                        <a:xfrm>
                          <a:off x="0" y="0"/>
                          <a:ext cx="5772150" cy="647700"/>
                        </a:xfrm>
                        <a:prstGeom prst="rect">
                          <a:avLst/>
                        </a:prstGeom>
                        <a:solidFill>
                          <a:schemeClr val="accent3">
                            <a:lumMod val="60000"/>
                            <a:lumOff val="40000"/>
                          </a:schemeClr>
                        </a:solidFill>
                        <a:ln w="12700">
                          <a:solidFill>
                            <a:schemeClr val="tx1"/>
                          </a:solidFill>
                        </a:ln>
                      </wps:spPr>
                      <wps:style>
                        <a:lnRef idx="1">
                          <a:schemeClr val="accent3"/>
                        </a:lnRef>
                        <a:fillRef idx="2">
                          <a:schemeClr val="accent3"/>
                        </a:fillRef>
                        <a:effectRef idx="1">
                          <a:schemeClr val="accent3"/>
                        </a:effectRef>
                        <a:fontRef idx="minor">
                          <a:schemeClr val="dk1"/>
                        </a:fontRef>
                      </wps:style>
                      <wps:txbx>
                        <w:txbxContent>
                          <w:p>
                            <w:pPr>
                              <w:jc w:val="both"/>
                            </w:pPr>
                            <w:r>
                              <w:rPr>
                                <w:b/>
                              </w:rPr>
                              <w:t>ATTENTION</w:t>
                            </w:r>
                            <w:r>
                              <w:t xml:space="preserve"> : Si une école est déjà partenaire d’une convention et demande parallèlement la transformation des moyens financiers en périodes, via l’annexe 2, cette demande sera irrecevable et l’école bénéficiera automatiquement de </w:t>
                            </w:r>
                            <w:r>
                              <w:rPr>
                                <w:b/>
                              </w:rPr>
                              <w:t>moyens financiers</w:t>
                            </w:r>
                            <w:r>
                              <w:t xml:space="preserve"> pour l’aide spécifique aux directions.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1" o:spid="_x0000_s1028" style="width:454.5pt;height: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" fillcolor="#c9c9c9 [1942]" strokecolor="black [3213]" strokeweight="1pt">
                <v:textbox>
                  <w:txbxContent>
                    <w:p>
                      <w:pPr>
                        <w:jc w:val="both"/>
                      </w:pPr>
                      <w:r>
                        <w:rPr>
                          <w:b/>
                        </w:rPr>
                        <w:t>ATTENTION</w:t>
                      </w:r>
                      <w:r>
                        <w:t xml:space="preserve"> : Si une école est déjà partenaire d’une convention et demande parallèlement la transformation des moyens financiers en périodes, via l’annexe 2, cette demande sera irrecevable et l’école bénéficiera automatiquement de </w:t>
                      </w:r>
                      <w:r>
                        <w:rPr>
                          <w:b/>
                        </w:rPr>
                        <w:t>moyens financiers</w:t>
                      </w:r>
                      <w:r>
                        <w:t xml:space="preserve"> pour l’aide spécifique aux directions.</w:t>
                      </w:r>
                    </w:p>
                  </w:txbxContent>
                </v:textbox>
                <w10:anchorlock/>
              </v:rect>
            </w:pict>
          </mc:Fallback>
        </mc:AlternateContent>
      </w:r>
    </w:p>
    <w:p>
      <w:pPr>
        <w:pStyle w:val="Sous-chapitre"/>
        <w:keepNext/>
        <w:numPr>
          <w:ilvl w:val="2"/>
          <w:numId w:val="1"/>
        </w:numPr>
        <w:rPr>
          <w:sz w:val="22"/>
        </w:rPr>
      </w:pPr>
      <w:r>
        <w:rPr>
          <w:sz w:val="22"/>
        </w:rPr>
        <w:t>Partenariat entre plusieurs écoles afin d’atteindre la norme minimale de 180 élèves</w:t>
      </w:r>
    </w:p>
    <w:p>
      <w:pPr>
        <w:keepNext/>
        <w:spacing w:after="120"/>
        <w:jc w:val="both"/>
      </w:pPr>
      <w:r>
        <w:t xml:space="preserve">Sur base volontaire, plusieurs écoles d’enseignement maternel, primaire et fondamental ordinaire ou spécialisé peuvent </w:t>
      </w:r>
      <w:r>
        <w:rPr>
          <w:b/>
        </w:rPr>
        <w:t>se regrouper,</w:t>
      </w:r>
      <w:r>
        <w:t xml:space="preserve"> </w:t>
      </w:r>
      <w:r>
        <w:rPr>
          <w:b/>
        </w:rPr>
        <w:t>afin d’atteindre le nombre minimal de 180 élèves</w:t>
      </w:r>
      <w:r>
        <w:t xml:space="preserve"> </w:t>
      </w:r>
      <w:r>
        <w:rPr>
          <w:b/>
        </w:rPr>
        <w:t>« encadrement</w:t>
      </w:r>
      <w:r>
        <w:rPr>
          <w:rStyle w:val="Appelnotedebasdep"/>
          <w:b/>
        </w:rPr>
        <w:footnoteReference w:id="2"/>
      </w:r>
      <w:r>
        <w:rPr>
          <w:b/>
        </w:rPr>
        <w:t> » régulièrement inscrits au 15 janvier de l’année scolaire précédente</w:t>
      </w:r>
      <w:r>
        <w:t xml:space="preserve"> et de pouvoir bénéficier des moyens alloués pour l’aide spécifique aux directions sans classe (cf. point 1.1).</w:t>
      </w:r>
    </w:p>
    <w:p>
      <w:pPr>
        <w:spacing w:after="120"/>
        <w:jc w:val="both"/>
      </w:pPr>
      <w:r>
        <w:t>Ce partenariat peut se faire entre écoles de types, de réseaux et de caractères différents. Il n’est pas non plus contraint géographiquement.</w:t>
      </w:r>
    </w:p>
    <w:p>
      <w:pPr>
        <w:spacing w:after="120"/>
        <w:jc w:val="both"/>
      </w:pPr>
      <w:r>
        <w:rPr>
          <w:u w:val="single"/>
        </w:rPr>
        <w:t>Exemple</w:t>
      </w:r>
      <w:r>
        <w:t xml:space="preserve"> : Une école A maternelle ordinaire, une école B fondamentale ordinaire et une école C fondamentale spécialisée comptent respectivement 90, 140 et 45 élèves régulièrement inscrits au 15 janvier. En établissant une convention, les 3 écoles pourraient se prévaloir de (90+140+45) 275 élèves, dépassant ainsi la norme minimale de 180 élèves permettant de bénéficier de l’aide spécifique aux directions. </w:t>
      </w:r>
    </w:p>
    <w:p>
      <w:pPr>
        <w:spacing w:after="120"/>
        <w:jc w:val="both"/>
      </w:pPr>
      <w:r>
        <w:t xml:space="preserve">Afin d’être pris en compte, un tel partenariat doit être établi </w:t>
      </w:r>
      <w:r>
        <w:rPr>
          <w:b/>
          <w:u w:val="single"/>
        </w:rPr>
        <w:t>via l’annexe 1</w:t>
      </w:r>
      <w:r>
        <w:t xml:space="preserve"> de la présente circulaire. Celle-ci doit être transmise, dument complétée et signée, à la Direction générale de l’Enseignement obligatoire </w:t>
      </w:r>
      <w:r>
        <w:rPr>
          <w:b/>
          <w:u w:val="single"/>
        </w:rPr>
        <w:t>avant le 30 juin</w:t>
      </w:r>
      <w:r>
        <w:t xml:space="preserve"> précédant la date de son entrée en vigueur. </w:t>
      </w:r>
      <w:r>
        <w:rPr>
          <w:b/>
          <w:u w:val="single"/>
        </w:rPr>
        <w:t>La convention</w:t>
      </w:r>
      <w:r>
        <w:t xml:space="preserve"> instituant le partenariat doit être jointe à cette annexe. Elle précise les modalités d’utilisation des moyens alloués à chaque école partenaire.</w:t>
      </w:r>
    </w:p>
    <w:p>
      <w:pPr>
        <w:spacing w:after="120"/>
        <w:jc w:val="both"/>
      </w:pPr>
      <w:r>
        <w:t xml:space="preserve">Au moment de l’octroi de l’aide spécifique aux directions, l’Administration vérifie que la norme des 180 élèves est respectée, en additionnant les nombres d’élèves régulièrement inscrits au 15 janvier précédent au sein de l’ensemble des établissements scolaires adhérents. </w:t>
      </w:r>
      <w:r>
        <w:rPr>
          <w:b/>
          <w:u w:val="single"/>
        </w:rPr>
        <w:t>Si le nombre de 180 n’est pas atteint, aucun établissement partenaire ne pourra bénéficier de l’aide spécifique aux directions l’année considérée</w:t>
      </w:r>
      <w:r>
        <w:t>.</w:t>
      </w:r>
    </w:p>
    <w:p>
      <w:pPr>
        <w:spacing w:after="120"/>
        <w:jc w:val="both"/>
      </w:pPr>
      <w:r>
        <w:t xml:space="preserve">Le partenariat peut porter sur une ou plusieurs années scolaires. Cependant, </w:t>
      </w:r>
      <w:r>
        <w:rPr>
          <w:b/>
        </w:rPr>
        <w:t>en cas d’une convention couvrant plusieurs années scolaires, il revient aux écoles partenaires de vérifier chaque année que la norme des 180 élèves est bien atteinte</w:t>
      </w:r>
      <w:r>
        <w:t>. Sans quoi, l’Administration n’octroiera les moyens prévus pour l’aide spécifique aux directions à aucune des écoles adhérentes.</w:t>
      </w:r>
    </w:p>
    <w:p>
      <w:pPr>
        <w:spacing w:after="120"/>
        <w:jc w:val="both"/>
      </w:pPr>
      <w:r>
        <w:t xml:space="preserve">En cas de respect des conditions d’accès à l’aide spécifique grâce à la constitution d’un partenariat entre établissements scolaires, les montants sont </w:t>
      </w:r>
      <w:proofErr w:type="gramStart"/>
      <w:r>
        <w:t>calculés</w:t>
      </w:r>
      <w:proofErr w:type="gramEnd"/>
      <w:r>
        <w:t xml:space="preserve"> et octroyés </w:t>
      </w:r>
      <w:r>
        <w:rPr>
          <w:b/>
          <w:u w:val="single"/>
        </w:rPr>
        <w:t>par école</w:t>
      </w:r>
      <w:r>
        <w:t>. Il est par ailleurs loisible aux écoles adhérentes d’opérer ensuite une mutualisation</w:t>
      </w:r>
      <w:r>
        <w:rPr>
          <w:vertAlign w:val="superscript"/>
        </w:rPr>
        <w:footnoteReference w:id="3"/>
      </w:r>
      <w:r>
        <w:t xml:space="preserve"> des montants reçus, afin d’optimaliser les moyens alloués dans le but de les gérer de manière plus efficiente.</w:t>
      </w:r>
    </w:p>
    <w:p>
      <w:pPr>
        <w:pStyle w:val="Sous-chapitre"/>
        <w:keepNext/>
        <w:numPr>
          <w:ilvl w:val="2"/>
          <w:numId w:val="1"/>
        </w:numPr>
        <w:rPr>
          <w:sz w:val="22"/>
        </w:rPr>
      </w:pPr>
      <w:r>
        <w:rPr>
          <w:sz w:val="22"/>
        </w:rPr>
        <w:lastRenderedPageBreak/>
        <w:t>Demande de transformation de l’aide spécifique aux directions en périodes</w:t>
      </w:r>
    </w:p>
    <w:p>
      <w:pPr>
        <w:keepNext/>
        <w:spacing w:after="240"/>
        <w:jc w:val="both"/>
      </w:pPr>
      <w:r>
        <w:rPr>
          <w:rFonts w:cs="Calibri"/>
        </w:rPr>
        <w:t>À</w:t>
      </w:r>
      <w:r>
        <w:t xml:space="preserve"> condition de ne pas déjà faire partie d’une convention ou d’un centre de gestion, les </w:t>
      </w:r>
      <w:r>
        <w:rPr>
          <w:b/>
        </w:rPr>
        <w:t>directions avec classe</w:t>
      </w:r>
      <w:r>
        <w:t xml:space="preserve"> peuvent bénéficier d’une aide spécifique sous la forme de périodes.</w:t>
      </w:r>
    </w:p>
    <w:p>
      <w:pPr>
        <w:pStyle w:val="Default"/>
        <w:numPr>
          <w:ilvl w:val="0"/>
          <w:numId w:val="12"/>
        </w:numPr>
        <w:spacing w:after="240"/>
        <w:ind w:left="714" w:hanging="357"/>
        <w:jc w:val="both"/>
        <w:rPr>
          <w:sz w:val="22"/>
          <w:szCs w:val="22"/>
          <w:u w:val="single"/>
        </w:rPr>
      </w:pPr>
      <w:r>
        <w:rPr>
          <w:b/>
          <w:bCs/>
          <w:sz w:val="22"/>
          <w:szCs w:val="22"/>
          <w:u w:val="single"/>
        </w:rPr>
        <w:t xml:space="preserve">Calcul et utilisation des périodes allouées : </w:t>
      </w:r>
    </w:p>
    <w:p>
      <w:pPr>
        <w:pStyle w:val="Default"/>
        <w:spacing w:after="120"/>
        <w:jc w:val="both"/>
        <w:rPr>
          <w:sz w:val="22"/>
          <w:szCs w:val="22"/>
        </w:rPr>
      </w:pPr>
      <w:r>
        <w:rPr>
          <w:sz w:val="22"/>
          <w:szCs w:val="22"/>
        </w:rPr>
        <w:t xml:space="preserve">Pour ces écoles, l’aide spécifique est transformée en capital-périodes, </w:t>
      </w:r>
      <w:r>
        <w:rPr>
          <w:b/>
          <w:bCs/>
          <w:sz w:val="22"/>
          <w:szCs w:val="22"/>
          <w:u w:val="single"/>
        </w:rPr>
        <w:t>afin de décharger le directeur de son temps de classe</w:t>
      </w:r>
      <w:r>
        <w:rPr>
          <w:sz w:val="22"/>
          <w:szCs w:val="22"/>
        </w:rPr>
        <w:t xml:space="preserve">. Cette possibilité de transformation en périodes s’effectue obligatoirement </w:t>
      </w:r>
      <w:r>
        <w:rPr>
          <w:b/>
          <w:bCs/>
          <w:sz w:val="22"/>
          <w:szCs w:val="22"/>
          <w:u w:val="single"/>
        </w:rPr>
        <w:t>pour la totalité de l’aide spécifique</w:t>
      </w:r>
      <w:r>
        <w:rPr>
          <w:b/>
          <w:bCs/>
          <w:sz w:val="22"/>
          <w:szCs w:val="22"/>
        </w:rPr>
        <w:t xml:space="preserve"> </w:t>
      </w:r>
      <w:r>
        <w:rPr>
          <w:sz w:val="22"/>
          <w:szCs w:val="22"/>
        </w:rPr>
        <w:t xml:space="preserve">et n’est, par ailleurs, pas ouverte aux écoles qui comptent au moins 180 élèves au 15 janvier précédent, seules ou via regroupement. </w:t>
      </w:r>
    </w:p>
    <w:p>
      <w:pPr>
        <w:spacing w:after="120"/>
        <w:jc w:val="both"/>
      </w:pPr>
      <w:r>
        <w:t>Le nombre de périodes octroyé par école est calculé sur base du montant forfaitaire par élève, multiplié par le nombre d’élèves régulièrement inscrit dans l’établissement au 15 janvier de l’année scolaire précédente, divisé par le cout annuel moyen d’une période d’enseignant</w:t>
      </w:r>
      <w:r>
        <w:rPr>
          <w:rStyle w:val="Appelnotedebasdep"/>
        </w:rPr>
        <w:footnoteReference w:id="4"/>
      </w:r>
      <w:r>
        <w:t>, arrondi à l’unité inférieure.</w:t>
      </w:r>
    </w:p>
    <w:p>
      <w:pPr>
        <w:spacing w:after="120"/>
        <w:jc w:val="both"/>
      </w:pPr>
      <w:r>
        <w:t xml:space="preserve">Dans l’enseignement fondamental </w:t>
      </w:r>
      <w:r>
        <w:rPr>
          <w:b/>
        </w:rPr>
        <w:t>ordinaire </w:t>
      </w:r>
      <w:r>
        <w:t>:</w:t>
      </w:r>
    </w:p>
    <w:tbl>
      <w:tblPr>
        <w:tblStyle w:val="Grilledutableau"/>
        <w:tblW w:w="0" w:type="auto"/>
        <w:tblLook w:val="04A0" w:firstRow="1" w:lastRow="0" w:firstColumn="1" w:lastColumn="0" w:noHBand="0" w:noVBand="1"/>
      </w:tblPr>
      <w:tblGrid>
        <w:gridCol w:w="1271"/>
        <w:gridCol w:w="3969"/>
        <w:gridCol w:w="2126"/>
      </w:tblGrid>
      <w:tr>
        <w:tc>
          <w:tcPr>
            <w:tcW w:w="1271" w:type="dxa"/>
            <w:shd w:val="clear" w:color="auto" w:fill="D9D9D9" w:themeFill="background1" w:themeFillShade="D9"/>
            <w:vAlign w:val="center"/>
          </w:tcPr>
          <w:p>
            <w:pPr>
              <w:rPr>
                <w:b/>
              </w:rPr>
            </w:pPr>
            <w:r>
              <w:rPr>
                <w:b/>
              </w:rPr>
              <w:t>Niveau</w:t>
            </w:r>
          </w:p>
        </w:tc>
        <w:tc>
          <w:tcPr>
            <w:tcW w:w="3969" w:type="dxa"/>
            <w:shd w:val="clear" w:color="auto" w:fill="D9D9D9" w:themeFill="background1" w:themeFillShade="D9"/>
            <w:vAlign w:val="center"/>
          </w:tcPr>
          <w:p>
            <w:pPr>
              <w:rPr>
                <w:b/>
              </w:rPr>
            </w:pPr>
            <w:r>
              <w:rPr>
                <w:b/>
              </w:rPr>
              <w:t>Fonction du directeur</w:t>
            </w:r>
          </w:p>
        </w:tc>
        <w:tc>
          <w:tcPr>
            <w:tcW w:w="2126" w:type="dxa"/>
            <w:shd w:val="clear" w:color="auto" w:fill="D9D9D9" w:themeFill="background1" w:themeFillShade="D9"/>
            <w:vAlign w:val="center"/>
          </w:tcPr>
          <w:p>
            <w:pPr>
              <w:jc w:val="center"/>
              <w:rPr>
                <w:b/>
              </w:rPr>
            </w:pPr>
            <w:r>
              <w:rPr>
                <w:b/>
              </w:rPr>
              <w:t>Cout annuel moyen 1 période (en euros)</w:t>
            </w:r>
          </w:p>
        </w:tc>
      </w:tr>
      <w:tr>
        <w:trPr>
          <w:trHeight w:val="340"/>
        </w:trPr>
        <w:tc>
          <w:tcPr>
            <w:tcW w:w="1271" w:type="dxa"/>
            <w:vMerge w:val="restart"/>
            <w:vAlign w:val="center"/>
          </w:tcPr>
          <w:p>
            <w:pPr>
              <w:rPr>
                <w:b/>
              </w:rPr>
            </w:pPr>
            <w:r>
              <w:rPr>
                <w:b/>
              </w:rPr>
              <w:t>Maternel ordinaire</w:t>
            </w:r>
          </w:p>
        </w:tc>
        <w:tc>
          <w:tcPr>
            <w:tcW w:w="3969" w:type="dxa"/>
            <w:vAlign w:val="center"/>
          </w:tcPr>
          <w:p>
            <w:r>
              <w:t>Instituteur maternel</w:t>
            </w:r>
          </w:p>
        </w:tc>
        <w:tc>
          <w:tcPr>
            <w:tcW w:w="2126" w:type="dxa"/>
            <w:vAlign w:val="center"/>
          </w:tcPr>
          <w:p>
            <w:pPr>
              <w:jc w:val="right"/>
            </w:pPr>
            <w:r>
              <w:t>1.942,77</w:t>
            </w:r>
          </w:p>
        </w:tc>
      </w:tr>
      <w:tr>
        <w:trPr>
          <w:trHeight w:val="340"/>
        </w:trPr>
        <w:tc>
          <w:tcPr>
            <w:tcW w:w="1271" w:type="dxa"/>
            <w:vMerge/>
            <w:vAlign w:val="center"/>
          </w:tcPr>
          <w:p>
            <w:pPr>
              <w:rPr>
                <w:b/>
              </w:rPr>
            </w:pPr>
          </w:p>
        </w:tc>
        <w:tc>
          <w:tcPr>
            <w:tcW w:w="3969" w:type="dxa"/>
            <w:vAlign w:val="center"/>
          </w:tcPr>
          <w:p>
            <w:r>
              <w:t>Maitre de psychomotricité</w:t>
            </w:r>
          </w:p>
        </w:tc>
        <w:tc>
          <w:tcPr>
            <w:tcW w:w="2126" w:type="dxa"/>
            <w:vAlign w:val="center"/>
          </w:tcPr>
          <w:p>
            <w:pPr>
              <w:jc w:val="right"/>
            </w:pPr>
            <w:r>
              <w:t>1.767,28</w:t>
            </w:r>
          </w:p>
        </w:tc>
      </w:tr>
      <w:tr>
        <w:trPr>
          <w:trHeight w:val="340"/>
        </w:trPr>
        <w:tc>
          <w:tcPr>
            <w:tcW w:w="1271" w:type="dxa"/>
            <w:vMerge w:val="restart"/>
            <w:vAlign w:val="center"/>
          </w:tcPr>
          <w:p>
            <w:pPr>
              <w:rPr>
                <w:b/>
              </w:rPr>
            </w:pPr>
            <w:r>
              <w:rPr>
                <w:b/>
              </w:rPr>
              <w:t>Primaire ordinaire</w:t>
            </w:r>
          </w:p>
        </w:tc>
        <w:tc>
          <w:tcPr>
            <w:tcW w:w="3969" w:type="dxa"/>
            <w:vAlign w:val="center"/>
          </w:tcPr>
          <w:p>
            <w:r>
              <w:t>Instituteur primaire</w:t>
            </w:r>
          </w:p>
        </w:tc>
        <w:tc>
          <w:tcPr>
            <w:tcW w:w="2126" w:type="dxa"/>
            <w:vAlign w:val="center"/>
          </w:tcPr>
          <w:p>
            <w:pPr>
              <w:jc w:val="right"/>
            </w:pPr>
            <w:r>
              <w:t>2.041,02</w:t>
            </w:r>
          </w:p>
        </w:tc>
      </w:tr>
      <w:tr>
        <w:trPr>
          <w:trHeight w:val="340"/>
        </w:trPr>
        <w:tc>
          <w:tcPr>
            <w:tcW w:w="1271" w:type="dxa"/>
            <w:vMerge/>
            <w:vAlign w:val="center"/>
          </w:tcPr>
          <w:p/>
        </w:tc>
        <w:tc>
          <w:tcPr>
            <w:tcW w:w="3969" w:type="dxa"/>
            <w:vAlign w:val="center"/>
          </w:tcPr>
          <w:p>
            <w:r>
              <w:t>Maitre d’éducation physique</w:t>
            </w:r>
          </w:p>
        </w:tc>
        <w:tc>
          <w:tcPr>
            <w:tcW w:w="2126" w:type="dxa"/>
            <w:vAlign w:val="center"/>
          </w:tcPr>
          <w:p>
            <w:pPr>
              <w:jc w:val="right"/>
            </w:pPr>
            <w:r>
              <w:t>2.063,33</w:t>
            </w:r>
          </w:p>
        </w:tc>
      </w:tr>
      <w:tr>
        <w:trPr>
          <w:trHeight w:val="340"/>
        </w:trPr>
        <w:tc>
          <w:tcPr>
            <w:tcW w:w="1271" w:type="dxa"/>
            <w:vMerge/>
            <w:vAlign w:val="center"/>
          </w:tcPr>
          <w:p/>
        </w:tc>
        <w:tc>
          <w:tcPr>
            <w:tcW w:w="3969" w:type="dxa"/>
            <w:vAlign w:val="center"/>
          </w:tcPr>
          <w:p>
            <w:r>
              <w:t>Maitre de seconde langue</w:t>
            </w:r>
          </w:p>
        </w:tc>
        <w:tc>
          <w:tcPr>
            <w:tcW w:w="2126" w:type="dxa"/>
            <w:vAlign w:val="center"/>
          </w:tcPr>
          <w:p>
            <w:pPr>
              <w:jc w:val="right"/>
            </w:pPr>
            <w:r>
              <w:t>2.068,15</w:t>
            </w:r>
          </w:p>
        </w:tc>
      </w:tr>
      <w:tr>
        <w:trPr>
          <w:trHeight w:val="340"/>
        </w:trPr>
        <w:tc>
          <w:tcPr>
            <w:tcW w:w="1271" w:type="dxa"/>
            <w:vMerge/>
            <w:vAlign w:val="center"/>
          </w:tcPr>
          <w:p/>
        </w:tc>
        <w:tc>
          <w:tcPr>
            <w:tcW w:w="3969" w:type="dxa"/>
            <w:vAlign w:val="center"/>
          </w:tcPr>
          <w:p>
            <w:r>
              <w:t>Maitre de philosophie et de citoyenneté</w:t>
            </w:r>
          </w:p>
        </w:tc>
        <w:tc>
          <w:tcPr>
            <w:tcW w:w="2126" w:type="dxa"/>
            <w:vAlign w:val="center"/>
          </w:tcPr>
          <w:p>
            <w:pPr>
              <w:jc w:val="right"/>
            </w:pPr>
            <w:r>
              <w:t>1.923,24</w:t>
            </w:r>
          </w:p>
        </w:tc>
      </w:tr>
      <w:tr>
        <w:trPr>
          <w:trHeight w:val="340"/>
        </w:trPr>
        <w:tc>
          <w:tcPr>
            <w:tcW w:w="1271" w:type="dxa"/>
            <w:vMerge/>
            <w:vAlign w:val="center"/>
          </w:tcPr>
          <w:p/>
        </w:tc>
        <w:tc>
          <w:tcPr>
            <w:tcW w:w="3969" w:type="dxa"/>
            <w:vAlign w:val="center"/>
          </w:tcPr>
          <w:p>
            <w:r>
              <w:t>Maitre de morale ou de religion</w:t>
            </w:r>
          </w:p>
        </w:tc>
        <w:tc>
          <w:tcPr>
            <w:tcW w:w="2126" w:type="dxa"/>
            <w:vAlign w:val="center"/>
          </w:tcPr>
          <w:p>
            <w:pPr>
              <w:keepNext/>
              <w:jc w:val="right"/>
            </w:pPr>
            <w:r>
              <w:t>2.060,02</w:t>
            </w:r>
          </w:p>
        </w:tc>
      </w:tr>
    </w:tbl>
    <w:p>
      <w:pPr>
        <w:pStyle w:val="Lgende"/>
        <w:spacing w:before="60" w:after="0"/>
        <w:rPr>
          <w:color w:val="auto"/>
        </w:rPr>
      </w:pPr>
      <w:r>
        <w:rPr>
          <w:color w:val="auto"/>
        </w:rPr>
        <w:t xml:space="preserve">Tableau </w:t>
      </w:r>
      <w:r>
        <w:rPr>
          <w:color w:val="auto"/>
        </w:rPr>
        <w:fldChar w:fldCharType="begin"/>
      </w:r>
      <w:r>
        <w:rPr>
          <w:color w:val="auto"/>
        </w:rPr>
        <w:instrText xml:space="preserve"> SEQ Tableau \* ARABIC </w:instrText>
      </w:r>
      <w:r>
        <w:rPr>
          <w:color w:val="auto"/>
        </w:rPr>
        <w:fldChar w:fldCharType="separate"/>
      </w:r>
      <w:r>
        <w:rPr>
          <w:noProof/>
          <w:color w:val="auto"/>
        </w:rPr>
        <w:t>1</w:t>
      </w:r>
      <w:r>
        <w:rPr>
          <w:color w:val="auto"/>
        </w:rPr>
        <w:fldChar w:fldCharType="end"/>
      </w:r>
      <w:r>
        <w:rPr>
          <w:color w:val="auto"/>
        </w:rPr>
        <w:t xml:space="preserve"> - Couts moyens d'une période par fonction dans l'enseignement fondamental ordinaire (janvier 2019)</w:t>
      </w:r>
    </w:p>
    <w:p>
      <w:pPr>
        <w:spacing w:before="240" w:after="120"/>
        <w:jc w:val="both"/>
      </w:pPr>
      <w:r>
        <w:t xml:space="preserve">Dans l’enseignement fondamental </w:t>
      </w:r>
      <w:r>
        <w:rPr>
          <w:b/>
        </w:rPr>
        <w:t>spécialisé </w:t>
      </w:r>
      <w:r>
        <w:t>:</w:t>
      </w:r>
    </w:p>
    <w:tbl>
      <w:tblPr>
        <w:tblStyle w:val="Grilledutableau"/>
        <w:tblW w:w="0" w:type="auto"/>
        <w:tblLook w:val="04A0" w:firstRow="1" w:lastRow="0" w:firstColumn="1" w:lastColumn="0" w:noHBand="0" w:noVBand="1"/>
      </w:tblPr>
      <w:tblGrid>
        <w:gridCol w:w="1271"/>
        <w:gridCol w:w="3969"/>
        <w:gridCol w:w="2126"/>
      </w:tblGrid>
      <w:tr>
        <w:tc>
          <w:tcPr>
            <w:tcW w:w="1271" w:type="dxa"/>
            <w:shd w:val="clear" w:color="auto" w:fill="D9D9D9" w:themeFill="background1" w:themeFillShade="D9"/>
            <w:vAlign w:val="center"/>
          </w:tcPr>
          <w:p>
            <w:pPr>
              <w:rPr>
                <w:b/>
              </w:rPr>
            </w:pPr>
            <w:r>
              <w:rPr>
                <w:b/>
              </w:rPr>
              <w:t>Niveau</w:t>
            </w:r>
          </w:p>
        </w:tc>
        <w:tc>
          <w:tcPr>
            <w:tcW w:w="3969" w:type="dxa"/>
            <w:shd w:val="clear" w:color="auto" w:fill="D9D9D9" w:themeFill="background1" w:themeFillShade="D9"/>
            <w:vAlign w:val="center"/>
          </w:tcPr>
          <w:p>
            <w:pPr>
              <w:rPr>
                <w:b/>
              </w:rPr>
            </w:pPr>
            <w:r>
              <w:rPr>
                <w:b/>
              </w:rPr>
              <w:t>Fonction du directeur</w:t>
            </w:r>
          </w:p>
        </w:tc>
        <w:tc>
          <w:tcPr>
            <w:tcW w:w="2126" w:type="dxa"/>
            <w:shd w:val="clear" w:color="auto" w:fill="D9D9D9" w:themeFill="background1" w:themeFillShade="D9"/>
            <w:vAlign w:val="center"/>
          </w:tcPr>
          <w:p>
            <w:pPr>
              <w:jc w:val="center"/>
              <w:rPr>
                <w:b/>
              </w:rPr>
            </w:pPr>
            <w:r>
              <w:rPr>
                <w:b/>
              </w:rPr>
              <w:t>Cout annuel moyen 1 période (en euros)</w:t>
            </w:r>
          </w:p>
        </w:tc>
      </w:tr>
      <w:tr>
        <w:trPr>
          <w:trHeight w:val="379"/>
        </w:trPr>
        <w:tc>
          <w:tcPr>
            <w:tcW w:w="1271" w:type="dxa"/>
            <w:vMerge w:val="restart"/>
            <w:vAlign w:val="center"/>
          </w:tcPr>
          <w:p>
            <w:pPr>
              <w:rPr>
                <w:b/>
              </w:rPr>
            </w:pPr>
            <w:r>
              <w:rPr>
                <w:b/>
              </w:rPr>
              <w:t>Maternel spécialisé</w:t>
            </w:r>
          </w:p>
        </w:tc>
        <w:tc>
          <w:tcPr>
            <w:tcW w:w="3969" w:type="dxa"/>
            <w:vAlign w:val="center"/>
          </w:tcPr>
          <w:p>
            <w:r>
              <w:t>Instituteur maternel</w:t>
            </w:r>
          </w:p>
        </w:tc>
        <w:tc>
          <w:tcPr>
            <w:tcW w:w="2126" w:type="dxa"/>
            <w:vAlign w:val="center"/>
          </w:tcPr>
          <w:p>
            <w:pPr>
              <w:jc w:val="right"/>
            </w:pPr>
            <w:r>
              <w:t>1.865,93</w:t>
            </w:r>
          </w:p>
        </w:tc>
      </w:tr>
      <w:tr>
        <w:trPr>
          <w:trHeight w:val="379"/>
        </w:trPr>
        <w:tc>
          <w:tcPr>
            <w:tcW w:w="1271" w:type="dxa"/>
            <w:vMerge/>
            <w:vAlign w:val="center"/>
          </w:tcPr>
          <w:p>
            <w:pPr>
              <w:rPr>
                <w:b/>
              </w:rPr>
            </w:pPr>
          </w:p>
        </w:tc>
        <w:tc>
          <w:tcPr>
            <w:tcW w:w="3969" w:type="dxa"/>
            <w:vAlign w:val="center"/>
          </w:tcPr>
          <w:p>
            <w:r>
              <w:t>Maitre de psychomotricité</w:t>
            </w:r>
          </w:p>
        </w:tc>
        <w:tc>
          <w:tcPr>
            <w:tcW w:w="2126" w:type="dxa"/>
            <w:vAlign w:val="center"/>
          </w:tcPr>
          <w:p>
            <w:pPr>
              <w:jc w:val="right"/>
            </w:pPr>
            <w:r>
              <w:t>1.751,13</w:t>
            </w:r>
          </w:p>
        </w:tc>
      </w:tr>
      <w:tr>
        <w:trPr>
          <w:trHeight w:val="379"/>
        </w:trPr>
        <w:tc>
          <w:tcPr>
            <w:tcW w:w="1271" w:type="dxa"/>
            <w:vMerge w:val="restart"/>
            <w:vAlign w:val="center"/>
          </w:tcPr>
          <w:p>
            <w:pPr>
              <w:rPr>
                <w:b/>
              </w:rPr>
            </w:pPr>
            <w:r>
              <w:rPr>
                <w:b/>
              </w:rPr>
              <w:t>Primaire spécialisé</w:t>
            </w:r>
          </w:p>
        </w:tc>
        <w:tc>
          <w:tcPr>
            <w:tcW w:w="3969" w:type="dxa"/>
            <w:vAlign w:val="center"/>
          </w:tcPr>
          <w:p>
            <w:r>
              <w:t>Instituteur primaire</w:t>
            </w:r>
          </w:p>
        </w:tc>
        <w:tc>
          <w:tcPr>
            <w:tcW w:w="2126" w:type="dxa"/>
            <w:vAlign w:val="center"/>
          </w:tcPr>
          <w:p>
            <w:pPr>
              <w:jc w:val="right"/>
            </w:pPr>
            <w:r>
              <w:t>2.011,34</w:t>
            </w:r>
          </w:p>
        </w:tc>
      </w:tr>
      <w:tr>
        <w:trPr>
          <w:trHeight w:val="379"/>
        </w:trPr>
        <w:tc>
          <w:tcPr>
            <w:tcW w:w="1271" w:type="dxa"/>
            <w:vMerge/>
            <w:vAlign w:val="center"/>
          </w:tcPr>
          <w:p/>
        </w:tc>
        <w:tc>
          <w:tcPr>
            <w:tcW w:w="3969" w:type="dxa"/>
            <w:vAlign w:val="center"/>
          </w:tcPr>
          <w:p>
            <w:r>
              <w:t>Maitre d’éducation physique</w:t>
            </w:r>
          </w:p>
        </w:tc>
        <w:tc>
          <w:tcPr>
            <w:tcW w:w="2126" w:type="dxa"/>
            <w:vAlign w:val="center"/>
          </w:tcPr>
          <w:p>
            <w:pPr>
              <w:jc w:val="right"/>
            </w:pPr>
            <w:r>
              <w:t>1.998,60</w:t>
            </w:r>
          </w:p>
        </w:tc>
      </w:tr>
      <w:tr>
        <w:trPr>
          <w:trHeight w:val="379"/>
        </w:trPr>
        <w:tc>
          <w:tcPr>
            <w:tcW w:w="1271" w:type="dxa"/>
            <w:vMerge/>
            <w:vAlign w:val="center"/>
          </w:tcPr>
          <w:p/>
        </w:tc>
        <w:tc>
          <w:tcPr>
            <w:tcW w:w="3969" w:type="dxa"/>
            <w:vAlign w:val="center"/>
          </w:tcPr>
          <w:p>
            <w:r>
              <w:t>Maitre d’éducation musicale</w:t>
            </w:r>
          </w:p>
        </w:tc>
        <w:tc>
          <w:tcPr>
            <w:tcW w:w="2126" w:type="dxa"/>
            <w:vAlign w:val="center"/>
          </w:tcPr>
          <w:p>
            <w:pPr>
              <w:jc w:val="right"/>
            </w:pPr>
            <w:r>
              <w:t>1.946,78</w:t>
            </w:r>
          </w:p>
        </w:tc>
      </w:tr>
      <w:tr>
        <w:trPr>
          <w:trHeight w:val="379"/>
        </w:trPr>
        <w:tc>
          <w:tcPr>
            <w:tcW w:w="1271" w:type="dxa"/>
            <w:vMerge/>
            <w:vAlign w:val="center"/>
          </w:tcPr>
          <w:p/>
        </w:tc>
        <w:tc>
          <w:tcPr>
            <w:tcW w:w="3969" w:type="dxa"/>
            <w:vAlign w:val="center"/>
          </w:tcPr>
          <w:p>
            <w:r>
              <w:t>Maitre de langue des signes</w:t>
            </w:r>
          </w:p>
        </w:tc>
        <w:tc>
          <w:tcPr>
            <w:tcW w:w="2126" w:type="dxa"/>
            <w:vAlign w:val="center"/>
          </w:tcPr>
          <w:p>
            <w:pPr>
              <w:jc w:val="right"/>
            </w:pPr>
            <w:r>
              <w:t>2.267,15</w:t>
            </w:r>
          </w:p>
        </w:tc>
      </w:tr>
      <w:tr>
        <w:trPr>
          <w:trHeight w:val="379"/>
        </w:trPr>
        <w:tc>
          <w:tcPr>
            <w:tcW w:w="1271" w:type="dxa"/>
            <w:vMerge/>
            <w:vAlign w:val="center"/>
          </w:tcPr>
          <w:p/>
        </w:tc>
        <w:tc>
          <w:tcPr>
            <w:tcW w:w="3969" w:type="dxa"/>
            <w:vAlign w:val="center"/>
          </w:tcPr>
          <w:p>
            <w:r>
              <w:t>Maitre de travaux manuels</w:t>
            </w:r>
          </w:p>
        </w:tc>
        <w:tc>
          <w:tcPr>
            <w:tcW w:w="2126" w:type="dxa"/>
            <w:vAlign w:val="center"/>
          </w:tcPr>
          <w:p>
            <w:pPr>
              <w:jc w:val="right"/>
            </w:pPr>
            <w:r>
              <w:t>1.987,13</w:t>
            </w:r>
          </w:p>
        </w:tc>
      </w:tr>
      <w:tr>
        <w:trPr>
          <w:trHeight w:val="379"/>
        </w:trPr>
        <w:tc>
          <w:tcPr>
            <w:tcW w:w="1271" w:type="dxa"/>
            <w:vMerge/>
            <w:vAlign w:val="center"/>
          </w:tcPr>
          <w:p/>
        </w:tc>
        <w:tc>
          <w:tcPr>
            <w:tcW w:w="3969" w:type="dxa"/>
            <w:vAlign w:val="center"/>
          </w:tcPr>
          <w:p>
            <w:r>
              <w:t>Maitre de philosophie et de citoyenneté</w:t>
            </w:r>
          </w:p>
        </w:tc>
        <w:tc>
          <w:tcPr>
            <w:tcW w:w="2126" w:type="dxa"/>
            <w:vAlign w:val="center"/>
          </w:tcPr>
          <w:p>
            <w:pPr>
              <w:jc w:val="right"/>
            </w:pPr>
            <w:r>
              <w:t>1.906,16</w:t>
            </w:r>
          </w:p>
        </w:tc>
      </w:tr>
      <w:tr>
        <w:trPr>
          <w:trHeight w:val="379"/>
        </w:trPr>
        <w:tc>
          <w:tcPr>
            <w:tcW w:w="1271" w:type="dxa"/>
            <w:vMerge/>
            <w:vAlign w:val="center"/>
          </w:tcPr>
          <w:p/>
        </w:tc>
        <w:tc>
          <w:tcPr>
            <w:tcW w:w="3969" w:type="dxa"/>
            <w:vAlign w:val="center"/>
          </w:tcPr>
          <w:p>
            <w:r>
              <w:t>Maitre de morale ou de religion</w:t>
            </w:r>
          </w:p>
        </w:tc>
        <w:tc>
          <w:tcPr>
            <w:tcW w:w="2126" w:type="dxa"/>
            <w:vAlign w:val="center"/>
          </w:tcPr>
          <w:p>
            <w:pPr>
              <w:keepNext/>
              <w:jc w:val="right"/>
            </w:pPr>
            <w:r>
              <w:t>2.034,84</w:t>
            </w:r>
          </w:p>
        </w:tc>
      </w:tr>
    </w:tbl>
    <w:p>
      <w:pPr>
        <w:pStyle w:val="Lgende"/>
        <w:spacing w:before="60"/>
        <w:rPr>
          <w:color w:val="auto"/>
        </w:rPr>
      </w:pPr>
      <w:r>
        <w:rPr>
          <w:color w:val="auto"/>
        </w:rPr>
        <w:t xml:space="preserve">Tableau </w:t>
      </w:r>
      <w:r>
        <w:rPr>
          <w:color w:val="auto"/>
        </w:rPr>
        <w:fldChar w:fldCharType="begin"/>
      </w:r>
      <w:r>
        <w:rPr>
          <w:color w:val="auto"/>
        </w:rPr>
        <w:instrText xml:space="preserve"> SEQ Tableau \* ARABIC </w:instrText>
      </w:r>
      <w:r>
        <w:rPr>
          <w:color w:val="auto"/>
        </w:rPr>
        <w:fldChar w:fldCharType="separate"/>
      </w:r>
      <w:r>
        <w:rPr>
          <w:noProof/>
          <w:color w:val="auto"/>
        </w:rPr>
        <w:t>2</w:t>
      </w:r>
      <w:r>
        <w:rPr>
          <w:color w:val="auto"/>
        </w:rPr>
        <w:fldChar w:fldCharType="end"/>
      </w:r>
      <w:r>
        <w:rPr>
          <w:color w:val="auto"/>
        </w:rPr>
        <w:t xml:space="preserve"> - Couts moyens d’une période par fonction dans l'enseignement fondamental spécialisé (janvier 2019)</w:t>
      </w:r>
    </w:p>
    <w:p>
      <w:pPr>
        <w:spacing w:before="240" w:after="120"/>
        <w:jc w:val="both"/>
      </w:pPr>
      <w:r>
        <w:lastRenderedPageBreak/>
        <w:t>L’administration informe les écoles concernées dans les plus brefs délais, afin qu’elles puissent bénéficier de ces périodes du 1</w:t>
      </w:r>
      <w:r>
        <w:rPr>
          <w:vertAlign w:val="superscript"/>
        </w:rPr>
        <w:t>er</w:t>
      </w:r>
      <w:r>
        <w:t xml:space="preserve"> septembre au 30 juin.</w:t>
      </w:r>
    </w:p>
    <w:p>
      <w:pPr>
        <w:spacing w:after="120"/>
        <w:jc w:val="both"/>
      </w:pPr>
      <w:r>
        <w:t xml:space="preserve">Les périodes octroyées doivent servir </w:t>
      </w:r>
      <w:r>
        <w:rPr>
          <w:b/>
          <w:u w:val="single"/>
        </w:rPr>
        <w:t>exclusivement</w:t>
      </w:r>
      <w:r>
        <w:rPr>
          <w:b/>
        </w:rPr>
        <w:t xml:space="preserve"> à décharger le directeur de ses heures de classes et représentent, de facto, des périodes liées à sa fonction</w:t>
      </w:r>
      <w:r>
        <w:t>.</w:t>
      </w:r>
    </w:p>
    <w:p>
      <w:pPr>
        <w:spacing w:after="120"/>
        <w:jc w:val="both"/>
      </w:pPr>
      <w:r>
        <w:rPr>
          <w:noProof/>
          <w:lang w:eastAsia="fr-BE"/>
        </w:rPr>
        <mc:AlternateContent>
          <mc:Choice Requires="wps">
            <w:drawing>
              <wp:inline distT="0" distB="0" distL="0" distR="0">
                <wp:extent cx="5810250" cy="1571625"/>
                <wp:effectExtent l="0" t="0" r="19050" b="28575"/>
                <wp:docPr id="2" name="Rectangle 2"/>
                <wp:cNvGraphicFramePr/>
                <a:graphic xmlns:a="http://schemas.openxmlformats.org/drawingml/2006/main">
                  <a:graphicData uri="http://schemas.microsoft.com/office/word/2010/wordprocessingShape">
                    <wps:wsp>
                      <wps:cNvSpPr/>
                      <wps:spPr>
                        <a:xfrm>
                          <a:off x="0" y="0"/>
                          <a:ext cx="5810250" cy="1571625"/>
                        </a:xfrm>
                        <a:prstGeom prst="rect">
                          <a:avLst/>
                        </a:prstGeom>
                      </wps:spPr>
                      <wps:style>
                        <a:lnRef idx="2">
                          <a:schemeClr val="dk1"/>
                        </a:lnRef>
                        <a:fillRef idx="1">
                          <a:schemeClr val="lt1"/>
                        </a:fillRef>
                        <a:effectRef idx="0">
                          <a:schemeClr val="dk1"/>
                        </a:effectRef>
                        <a:fontRef idx="minor">
                          <a:schemeClr val="dk1"/>
                        </a:fontRef>
                      </wps:style>
                      <wps:txbx>
                        <w:txbxContent>
                          <w:p>
                            <w:pPr>
                              <w:spacing w:after="0"/>
                              <w:jc w:val="both"/>
                              <w:rPr>
                                <w:u w:val="single"/>
                              </w:rPr>
                            </w:pPr>
                            <w:r>
                              <w:rPr>
                                <w:u w:val="single"/>
                              </w:rPr>
                              <w:t>Exemple :</w:t>
                            </w:r>
                          </w:p>
                          <w:p>
                            <w:pPr>
                              <w:spacing w:after="0"/>
                              <w:jc w:val="both"/>
                            </w:pPr>
                            <w:r>
                              <w:t>Le pouvoir organisateur introduit, en temps utile, une demande de transformation de l’aide spécifique aux directions en capital-périodes pour une école fondamentale ordinaire pour l’année scolaire 2019-2020. L’école comptabilise 86 élèves au 15 janvier 2019 et ne fait partie ni d’un partenariat, ni d’un centre de gestion. Le directeur est attaché au niveau primaire et preste 12 périodes en classe en tant que maitre d’éducation physique. Par conséquent, elle pourra bénéficier à partir du 1</w:t>
                            </w:r>
                            <w:r>
                              <w:rPr>
                                <w:vertAlign w:val="superscript"/>
                              </w:rPr>
                              <w:t>er</w:t>
                            </w:r>
                            <w:r>
                              <w:t xml:space="preserve"> septembre 2019 de 2 périodes de maitre d’éducation physique, calculées comme suit:</w:t>
                            </w:r>
                          </w:p>
                          <w:p>
                            <w:pPr>
                              <w:spacing w:after="120"/>
                              <w:jc w:val="both"/>
                            </w:pPr>
                            <w:r>
                              <w:t>(62,64 euros x 86) / 2.063,33 euros = 2 périodes (arrondi inférieur).</w:t>
                            </w:r>
                          </w:p>
                          <w:p>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2" o:spid="_x0000_s1029" style="width:457.5pt;height:12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" fillcolor="white [3201]" strokecolor="black [3200]" strokeweight="1pt">
                <v:textbox>
                  <w:txbxContent>
                    <w:p>
                      <w:pPr>
                        <w:spacing w:after="0"/>
                        <w:jc w:val="both"/>
                        <w:rPr>
                          <w:u w:val="single"/>
                        </w:rPr>
                      </w:pPr>
                      <w:r>
                        <w:rPr>
                          <w:u w:val="single"/>
                        </w:rPr>
                        <w:t>Exemple :</w:t>
                      </w:r>
                    </w:p>
                    <w:p>
                      <w:pPr>
                        <w:spacing w:after="0"/>
                        <w:jc w:val="both"/>
                      </w:pPr>
                      <w:r>
                        <w:t>Le pouvoir organisateur introduit, en temps utile, une demande de transformation de l’aide spécifique aux directions en capital-périodes pour une école fondamentale ordinaire pour l’année scolaire 2019-2020. L’école comptabilise 86 élèves au 15 janvier 2019 et ne fait partie ni d’un partenariat, ni d’un centre de gestion. Le directeur est attaché au niveau primaire et preste 12 périodes en classe en tant que maitre d’éducation physique. Par conséquent, elle pourra bénéficier à partir du 1</w:t>
                      </w:r>
                      <w:r>
                        <w:rPr>
                          <w:vertAlign w:val="superscript"/>
                        </w:rPr>
                        <w:t>er</w:t>
                      </w:r>
                      <w:r>
                        <w:t xml:space="preserve"> septembre 2019 de 2 périodes de maitre d’éducation physique, calculées comme suit:</w:t>
                      </w:r>
                    </w:p>
                    <w:p>
                      <w:pPr>
                        <w:spacing w:after="120"/>
                        <w:jc w:val="both"/>
                      </w:pPr>
                      <w:r>
                        <w:t>(62,64 euros x 86) / 2.063,33 euros = 2 périodes (arrondi inférieur).</w:t>
                      </w:r>
                    </w:p>
                    <w:p>
                      <w:pPr>
                        <w:jc w:val="center"/>
                      </w:pPr>
                    </w:p>
                  </w:txbxContent>
                </v:textbox>
                <w10:anchorlock/>
              </v:rect>
            </w:pict>
          </mc:Fallback>
        </mc:AlternateContent>
      </w:r>
    </w:p>
    <w:p>
      <w:pPr>
        <w:pStyle w:val="Default"/>
        <w:numPr>
          <w:ilvl w:val="0"/>
          <w:numId w:val="12"/>
        </w:numPr>
        <w:spacing w:before="240" w:after="240"/>
        <w:ind w:left="714" w:hanging="357"/>
        <w:jc w:val="both"/>
        <w:rPr>
          <w:b/>
          <w:bCs/>
          <w:sz w:val="22"/>
          <w:szCs w:val="22"/>
          <w:u w:val="single"/>
        </w:rPr>
      </w:pPr>
      <w:r>
        <w:rPr>
          <w:b/>
          <w:bCs/>
          <w:sz w:val="22"/>
          <w:szCs w:val="22"/>
          <w:u w:val="single"/>
        </w:rPr>
        <w:t>Modalités d’introduction de la demande :</w:t>
      </w:r>
    </w:p>
    <w:p>
      <w:pPr>
        <w:spacing w:after="120"/>
        <w:jc w:val="both"/>
      </w:pPr>
      <w:r>
        <w:t xml:space="preserve">Le pouvoir organisateur, dans l’enseignement subventionné, et le chef d’établissement, dans l’enseignement organisé, doit en faire la demande auprès de la Direction générale de l’Enseignement obligatoire </w:t>
      </w:r>
      <w:r>
        <w:rPr>
          <w:b/>
          <w:u w:val="single"/>
        </w:rPr>
        <w:t>avant le 30 juin de l’année scolaire précédant l’attribution de l’aide spécifique</w:t>
      </w:r>
      <w:r>
        <w:t>. La demande est introduite via l’</w:t>
      </w:r>
      <w:r>
        <w:rPr>
          <w:b/>
        </w:rPr>
        <w:t xml:space="preserve">annexe 2 </w:t>
      </w:r>
      <w:r>
        <w:t xml:space="preserve">de la présente circulaire dument complétée et signée, par courrier ou par mail à l’adresse suivante : </w:t>
      </w:r>
      <w:hyperlink r:id="rId9" w:history="1">
        <w:r>
          <w:rPr>
            <w:rStyle w:val="Lienhypertexte"/>
          </w:rPr>
          <w:t>secretariat.fondamental@cfwb.be</w:t>
        </w:r>
      </w:hyperlink>
    </w:p>
    <w:p>
      <w:pPr>
        <w:spacing w:after="120"/>
        <w:jc w:val="both"/>
        <w:rPr>
          <w:rFonts w:eastAsiaTheme="minorHAnsi" w:cs="Calibri"/>
          <w:color w:val="000000"/>
        </w:rPr>
      </w:pPr>
      <w:r>
        <w:rPr>
          <w:rFonts w:eastAsiaTheme="minorHAnsi" w:cs="Calibri"/>
          <w:color w:val="000000"/>
        </w:rPr>
        <w:t xml:space="preserve"> </w:t>
      </w:r>
      <w:r>
        <w:rPr>
          <w:noProof/>
          <w:lang w:eastAsia="fr-BE"/>
        </w:rPr>
        <mc:AlternateContent>
          <mc:Choice Requires="wps">
            <w:drawing>
              <wp:inline distT="0" distB="0" distL="0" distR="0">
                <wp:extent cx="2990850" cy="1019175"/>
                <wp:effectExtent l="0" t="0" r="19050" b="28575"/>
                <wp:docPr id="3" name="Rectangle 3"/>
                <wp:cNvGraphicFramePr/>
                <a:graphic xmlns:a="http://schemas.openxmlformats.org/drawingml/2006/main">
                  <a:graphicData uri="http://schemas.microsoft.com/office/word/2010/wordprocessingShape">
                    <wps:wsp>
                      <wps:cNvSpPr/>
                      <wps:spPr>
                        <a:xfrm>
                          <a:off x="0" y="0"/>
                          <a:ext cx="2990850" cy="1019175"/>
                        </a:xfrm>
                        <a:prstGeom prst="rect">
                          <a:avLst/>
                        </a:prstGeom>
                      </wps:spPr>
                      <wps:style>
                        <a:lnRef idx="2">
                          <a:schemeClr val="dk1"/>
                        </a:lnRef>
                        <a:fillRef idx="1">
                          <a:schemeClr val="lt1"/>
                        </a:fillRef>
                        <a:effectRef idx="0">
                          <a:schemeClr val="dk1"/>
                        </a:effectRef>
                        <a:fontRef idx="minor">
                          <a:schemeClr val="dk1"/>
                        </a:fontRef>
                      </wps:style>
                      <wps:txbx>
                        <w:txbxContent>
                          <w:p>
                            <w:pPr>
                              <w:autoSpaceDE w:val="0"/>
                              <w:autoSpaceDN w:val="0"/>
                              <w:adjustRightInd w:val="0"/>
                              <w:spacing w:after="0" w:line="240" w:lineRule="auto"/>
                              <w:rPr>
                                <w:rFonts w:eastAsiaTheme="minorHAnsi" w:cs="Calibri"/>
                                <w:color w:val="000000"/>
                              </w:rPr>
                            </w:pPr>
                            <w:r>
                              <w:rPr>
                                <w:rFonts w:eastAsiaTheme="minorHAnsi" w:cs="Calibri"/>
                                <w:b/>
                                <w:bCs/>
                                <w:color w:val="000000"/>
                              </w:rPr>
                              <w:t xml:space="preserve">Adresse d’envoi :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Ministère de la Fédération Wallonie-Bruxelles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Direction générale de l’Enseignement obligatoire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Bureau 2.F.211 </w:t>
                            </w:r>
                          </w:p>
                          <w:p>
                            <w:pPr>
                              <w:spacing w:after="0"/>
                            </w:pPr>
                            <w:r>
                              <w:rPr>
                                <w:rFonts w:eastAsiaTheme="minorHAnsi" w:cs="Calibri"/>
                                <w:color w:val="000000"/>
                              </w:rPr>
                              <w:t xml:space="preserve">Rue Adolphe </w:t>
                            </w:r>
                            <w:proofErr w:type="spellStart"/>
                            <w:r>
                              <w:rPr>
                                <w:rFonts w:eastAsiaTheme="minorHAnsi" w:cs="Calibri"/>
                                <w:color w:val="000000"/>
                              </w:rPr>
                              <w:t>Lavallée</w:t>
                            </w:r>
                            <w:proofErr w:type="spellEnd"/>
                            <w:r>
                              <w:rPr>
                                <w:rFonts w:eastAsiaTheme="minorHAnsi" w:cs="Calibri"/>
                                <w:color w:val="000000"/>
                              </w:rPr>
                              <w:t xml:space="preserve"> 1 à 1080 Bruxelles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3" o:spid="_x0000_s1030" style="width:235.5pt;height:80.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" fillcolor="white [3201]" strokecolor="black [3200]" strokeweight="1pt">
                <v:textbox>
                  <w:txbxContent>
                    <w:p>
                      <w:pPr>
                        <w:autoSpaceDE w:val="0"/>
                        <w:autoSpaceDN w:val="0"/>
                        <w:adjustRightInd w:val="0"/>
                        <w:spacing w:after="0" w:line="240" w:lineRule="auto"/>
                        <w:rPr>
                          <w:rFonts w:eastAsiaTheme="minorHAnsi" w:cs="Calibri"/>
                          <w:color w:val="000000"/>
                        </w:rPr>
                      </w:pPr>
                      <w:r>
                        <w:rPr>
                          <w:rFonts w:eastAsiaTheme="minorHAnsi" w:cs="Calibri"/>
                          <w:b/>
                          <w:bCs/>
                          <w:color w:val="000000"/>
                        </w:rPr>
                        <w:t xml:space="preserve">Adresse d’envoi :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Ministère de la Fédération Wallonie-Bruxelles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Direction générale de l’Enseignement obligatoire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Bureau 2.F.211 </w:t>
                      </w:r>
                    </w:p>
                    <w:p>
                      <w:pPr>
                        <w:spacing w:after="0"/>
                      </w:pPr>
                      <w:r>
                        <w:rPr>
                          <w:rFonts w:eastAsiaTheme="minorHAnsi" w:cs="Calibri"/>
                          <w:color w:val="000000"/>
                        </w:rPr>
                        <w:t xml:space="preserve">Rue Adolphe </w:t>
                      </w:r>
                      <w:proofErr w:type="spellStart"/>
                      <w:r>
                        <w:rPr>
                          <w:rFonts w:eastAsiaTheme="minorHAnsi" w:cs="Calibri"/>
                          <w:color w:val="000000"/>
                        </w:rPr>
                        <w:t>Lavallée</w:t>
                      </w:r>
                      <w:proofErr w:type="spellEnd"/>
                      <w:r>
                        <w:rPr>
                          <w:rFonts w:eastAsiaTheme="minorHAnsi" w:cs="Calibri"/>
                          <w:color w:val="000000"/>
                        </w:rPr>
                        <w:t xml:space="preserve"> 1 à 1080 Bruxelles</w:t>
                      </w:r>
                    </w:p>
                  </w:txbxContent>
                </v:textbox>
                <w10:anchorlock/>
              </v:rect>
            </w:pict>
          </mc:Fallback>
        </mc:AlternateContent>
      </w:r>
    </w:p>
    <w:p>
      <w:pPr>
        <w:spacing w:after="120"/>
        <w:jc w:val="both"/>
        <w:rPr>
          <w:b/>
          <w:u w:val="single"/>
        </w:rPr>
      </w:pPr>
      <w:r>
        <w:rPr>
          <w:rFonts w:eastAsiaTheme="minorHAnsi" w:cs="Calibri"/>
          <w:b/>
          <w:color w:val="000000"/>
        </w:rPr>
        <w:t>ATTENTION</w:t>
      </w:r>
      <w:r>
        <w:rPr>
          <w:rFonts w:eastAsiaTheme="minorHAnsi" w:cs="Calibri"/>
          <w:color w:val="000000"/>
        </w:rPr>
        <w:t xml:space="preserve"> : Cette demande </w:t>
      </w:r>
      <w:r>
        <w:rPr>
          <w:rFonts w:eastAsiaTheme="minorHAnsi" w:cs="Calibri"/>
          <w:b/>
          <w:color w:val="000000"/>
        </w:rPr>
        <w:t>doit être introduite pour chaque année scolaire</w:t>
      </w:r>
      <w:r>
        <w:rPr>
          <w:rFonts w:eastAsiaTheme="minorHAnsi" w:cs="Calibri"/>
          <w:color w:val="000000"/>
        </w:rPr>
        <w:t xml:space="preserve"> pour laquelle une transformation des moyens en périodes est souhaitée par l’école.</w:t>
      </w:r>
    </w:p>
    <w:p>
      <w:pPr>
        <w:pStyle w:val="Chapitre"/>
      </w:pPr>
      <w:r>
        <w:t>Création ou reconduction d’un centre de gestion (1</w:t>
      </w:r>
      <w:r>
        <w:rPr>
          <w:vertAlign w:val="superscript"/>
        </w:rPr>
        <w:t>er</w:t>
      </w:r>
      <w:r>
        <w:t xml:space="preserve"> septembre 2019 au 31 aout 2025)</w:t>
      </w:r>
    </w:p>
    <w:p>
      <w:pPr>
        <w:keepNext/>
        <w:spacing w:after="240"/>
        <w:jc w:val="both"/>
      </w:pPr>
      <w:r>
        <w:t>Afin d’optimaliser les moyens alloués dans le but de les gérer de manière plus efficiente, les pouvoirs organisateurs pour l’enseignement subventionné et les chefs d’établissement pour l’enseignement organisé par la Fédération Wallonie-Bruxelles peuvent, s’ils le souhaitent définir un partenariat sur base volontaire.</w:t>
      </w:r>
    </w:p>
    <w:p>
      <w:pPr>
        <w:pStyle w:val="Default"/>
        <w:numPr>
          <w:ilvl w:val="0"/>
          <w:numId w:val="12"/>
        </w:numPr>
        <w:spacing w:after="240"/>
        <w:ind w:left="714" w:hanging="357"/>
        <w:jc w:val="both"/>
        <w:rPr>
          <w:b/>
          <w:bCs/>
          <w:sz w:val="22"/>
          <w:szCs w:val="22"/>
          <w:u w:val="single"/>
        </w:rPr>
      </w:pPr>
      <w:r>
        <w:rPr>
          <w:b/>
          <w:bCs/>
          <w:sz w:val="22"/>
          <w:szCs w:val="22"/>
          <w:u w:val="single"/>
        </w:rPr>
        <w:t>Comment créer un centre de gestion ?</w:t>
      </w:r>
    </w:p>
    <w:p>
      <w:pPr>
        <w:spacing w:after="120"/>
        <w:jc w:val="both"/>
      </w:pPr>
      <w:r>
        <w:t>Un centre de gestion est créé par voie de convention qui mentionne au minimum les pouvoirs organisateurs pour l’enseignement subventionné et les chefs d’établissement pour l’enseignement organisé par la Communauté française adhérant au centre de gestion, ainsi que les écoles (dénomination et n° FASE) qui les composent.</w:t>
      </w:r>
    </w:p>
    <w:p>
      <w:pPr>
        <w:spacing w:after="240"/>
        <w:jc w:val="both"/>
      </w:pPr>
      <w:r>
        <w:t>Remarque pour le réseau subventionné : si plusieurs écoles dépendent d’un même pouvoir organisateur, toutes ces écoles sont concernées par l’adhésion.</w:t>
      </w:r>
    </w:p>
    <w:p>
      <w:pPr>
        <w:pStyle w:val="Default"/>
        <w:keepNext/>
        <w:numPr>
          <w:ilvl w:val="0"/>
          <w:numId w:val="12"/>
        </w:numPr>
        <w:spacing w:after="240"/>
        <w:ind w:left="714" w:hanging="357"/>
        <w:jc w:val="both"/>
        <w:rPr>
          <w:b/>
          <w:bCs/>
          <w:sz w:val="22"/>
          <w:szCs w:val="22"/>
          <w:u w:val="single"/>
        </w:rPr>
      </w:pPr>
      <w:r>
        <w:rPr>
          <w:b/>
          <w:bCs/>
          <w:sz w:val="22"/>
          <w:szCs w:val="22"/>
          <w:u w:val="single"/>
        </w:rPr>
        <w:lastRenderedPageBreak/>
        <w:t>Les compétences d’un centre de gestion</w:t>
      </w:r>
    </w:p>
    <w:p>
      <w:pPr>
        <w:keepNext/>
        <w:spacing w:after="240"/>
        <w:jc w:val="both"/>
      </w:pPr>
      <w:r>
        <w:t>Dans le cas d’un centre de gestion, c’est la convention qui détermine la forme que prend l’aide spécifique aux directions et les modalités d’utilisation des moyens alloués après que chaque pouvoir organisateur ou chaque chef d’établissement adhérant ait consulté les directions concernées.</w:t>
      </w:r>
    </w:p>
    <w:p>
      <w:pPr>
        <w:pStyle w:val="Default"/>
        <w:keepNext/>
        <w:numPr>
          <w:ilvl w:val="0"/>
          <w:numId w:val="12"/>
        </w:numPr>
        <w:spacing w:after="240"/>
        <w:ind w:left="714" w:hanging="357"/>
        <w:jc w:val="both"/>
        <w:rPr>
          <w:b/>
          <w:bCs/>
          <w:sz w:val="22"/>
          <w:szCs w:val="22"/>
          <w:u w:val="single"/>
        </w:rPr>
      </w:pPr>
      <w:r>
        <w:rPr>
          <w:b/>
          <w:bCs/>
          <w:sz w:val="22"/>
          <w:szCs w:val="22"/>
          <w:u w:val="single"/>
        </w:rPr>
        <w:t>Les critères pour la création d’un centre de gestion</w:t>
      </w:r>
    </w:p>
    <w:p>
      <w:pPr>
        <w:pStyle w:val="Paragraphedeliste"/>
        <w:numPr>
          <w:ilvl w:val="0"/>
          <w:numId w:val="3"/>
        </w:numPr>
        <w:spacing w:after="120"/>
        <w:contextualSpacing w:val="0"/>
        <w:jc w:val="both"/>
      </w:pPr>
      <w:r>
        <w:t>Un centre de gestion comprend au moins 1000 élèves issus aussi bien des écoles de niveau d’enseignement maternel que de niveau d’enseignement primaire</w:t>
      </w:r>
      <w:r>
        <w:rPr>
          <w:rStyle w:val="Appelnotedebasdep"/>
        </w:rPr>
        <w:footnoteReference w:id="5"/>
      </w:r>
      <w:r>
        <w:t xml:space="preserve"> au sein d’une même entité pour le réseau libre, au sein d’une même commune ou groupe de commune pour le réseau officiel subventionné, au sein d’une même zone pour le réseau organisé par la Communauté française.</w:t>
      </w:r>
    </w:p>
    <w:p>
      <w:pPr>
        <w:pStyle w:val="Paragraphedeliste"/>
        <w:numPr>
          <w:ilvl w:val="0"/>
          <w:numId w:val="3"/>
        </w:numPr>
        <w:spacing w:after="120"/>
        <w:contextualSpacing w:val="0"/>
        <w:jc w:val="both"/>
      </w:pPr>
      <w:r>
        <w:t>S’il n’est pas possible de constituer un centre de gestion de 1000 élèves, au sein d’une même entité pour l’enseignement subventionné ou d’une même zone pour l’enseignement organisé par la Communauté française, le centre de gestion peut réunir des établissements de pouvoirs organisateurs d’entités différentes ou des établissements de zones différentes.</w:t>
      </w:r>
    </w:p>
    <w:p>
      <w:pPr>
        <w:pStyle w:val="Paragraphedeliste"/>
        <w:numPr>
          <w:ilvl w:val="0"/>
          <w:numId w:val="3"/>
        </w:numPr>
        <w:spacing w:after="120"/>
        <w:contextualSpacing w:val="0"/>
        <w:jc w:val="both"/>
      </w:pPr>
      <w:r>
        <w:t>Des pouvoirs organisateurs d’entités voisines peuvent également créer un centre de gestion commun pour autant que le nombre d’élèves de ce centre ne dépasse pas 10 000.</w:t>
      </w:r>
    </w:p>
    <w:p>
      <w:pPr>
        <w:pStyle w:val="Paragraphedeliste"/>
        <w:numPr>
          <w:ilvl w:val="0"/>
          <w:numId w:val="3"/>
        </w:numPr>
        <w:spacing w:after="240"/>
        <w:contextualSpacing w:val="0"/>
        <w:jc w:val="both"/>
      </w:pPr>
      <w:r>
        <w:t>La population de référence des centres de gestion qui se créeront au 1</w:t>
      </w:r>
      <w:r>
        <w:rPr>
          <w:vertAlign w:val="superscript"/>
        </w:rPr>
        <w:t>er</w:t>
      </w:r>
      <w:r>
        <w:t xml:space="preserve"> septembre 2019 est celle inscrite dans les écoles adhérentes au 15 janvier 2019.</w:t>
      </w:r>
    </w:p>
    <w:p>
      <w:pPr>
        <w:pStyle w:val="Default"/>
        <w:keepNext/>
        <w:numPr>
          <w:ilvl w:val="0"/>
          <w:numId w:val="12"/>
        </w:numPr>
        <w:spacing w:after="240"/>
        <w:ind w:left="714" w:hanging="357"/>
        <w:jc w:val="both"/>
        <w:rPr>
          <w:b/>
          <w:bCs/>
          <w:sz w:val="22"/>
          <w:szCs w:val="22"/>
          <w:u w:val="single"/>
        </w:rPr>
      </w:pPr>
      <w:r>
        <w:rPr>
          <w:b/>
          <w:bCs/>
          <w:sz w:val="22"/>
          <w:szCs w:val="22"/>
          <w:u w:val="single"/>
        </w:rPr>
        <w:t>Convention et adhésion au centre de gestion</w:t>
      </w:r>
    </w:p>
    <w:p>
      <w:pPr>
        <w:pStyle w:val="Paragraphedeliste"/>
        <w:numPr>
          <w:ilvl w:val="0"/>
          <w:numId w:val="3"/>
        </w:numPr>
        <w:spacing w:after="120"/>
        <w:contextualSpacing w:val="0"/>
        <w:jc w:val="both"/>
      </w:pPr>
      <w:r>
        <w:t>La convention, qui règle l’organisation et le fonctionnement du centre de gestion, porte sur une période de 6 années scolaires à dater du 1</w:t>
      </w:r>
      <w:r>
        <w:rPr>
          <w:vertAlign w:val="superscript"/>
        </w:rPr>
        <w:t>er</w:t>
      </w:r>
      <w:r>
        <w:t xml:space="preserve"> septembre 2019.</w:t>
      </w:r>
    </w:p>
    <w:p>
      <w:pPr>
        <w:pStyle w:val="Paragraphedeliste"/>
        <w:numPr>
          <w:ilvl w:val="0"/>
          <w:numId w:val="3"/>
        </w:numPr>
        <w:spacing w:after="120"/>
        <w:contextualSpacing w:val="0"/>
        <w:jc w:val="both"/>
      </w:pPr>
      <w:r>
        <w:t>Un centre de gestion peut être créé lors de chaque rentrée scolaire d’une des années de la période considérée. La convention ne lie alors les adhérents que pour le nombre d’années restantes.</w:t>
      </w:r>
    </w:p>
    <w:p>
      <w:pPr>
        <w:pStyle w:val="Paragraphedeliste"/>
        <w:numPr>
          <w:ilvl w:val="0"/>
          <w:numId w:val="3"/>
        </w:numPr>
        <w:spacing w:after="120"/>
        <w:contextualSpacing w:val="0"/>
        <w:jc w:val="both"/>
      </w:pPr>
      <w:r>
        <w:t>Tout pouvoir organisateur pour l’enseignement subventionné ou chef d’établissement pour l’enseignement organisé par la Communauté française qui a adhéré à un centre de gestion est lié à celui-ci pour la durée de la convention.</w:t>
      </w:r>
    </w:p>
    <w:p>
      <w:pPr>
        <w:pStyle w:val="Paragraphedeliste"/>
        <w:numPr>
          <w:ilvl w:val="0"/>
          <w:numId w:val="3"/>
        </w:numPr>
        <w:spacing w:after="120"/>
        <w:contextualSpacing w:val="0"/>
        <w:jc w:val="both"/>
      </w:pPr>
      <w:r>
        <w:t>Un pouvoir organisateur ou chef d’établissement peut décider d’adhérer à un centre de gestion déjà créé au cours de la période considérée sans entrainer la renégociation de la convention. Cette adhésion prend cours un 1er septembre. La population scolaire de son ou ses écoles prise(s) en compte au 15 janvier 2019 est ajoutée à celle du centre de gestion.</w:t>
      </w:r>
    </w:p>
    <w:p>
      <w:pPr>
        <w:pStyle w:val="Paragraphedeliste"/>
        <w:numPr>
          <w:ilvl w:val="0"/>
          <w:numId w:val="3"/>
        </w:numPr>
        <w:spacing w:after="120"/>
        <w:contextualSpacing w:val="0"/>
        <w:jc w:val="both"/>
      </w:pPr>
      <w:r>
        <w:t>La convention précise le pouvoir organisateur pour l’enseignement subventionné ou le chef d’établissement pour le réseau organisé assurant la coordination du centre de gestion.</w:t>
      </w:r>
    </w:p>
    <w:p>
      <w:pPr>
        <w:pStyle w:val="Paragraphedeliste"/>
        <w:numPr>
          <w:ilvl w:val="0"/>
          <w:numId w:val="3"/>
        </w:numPr>
        <w:spacing w:after="240"/>
        <w:contextualSpacing w:val="0"/>
        <w:jc w:val="both"/>
      </w:pPr>
      <w:r>
        <w:t>La convention peut prévoir des compétences supplémentaires sans porter préjudice à la législation existante.</w:t>
      </w:r>
    </w:p>
    <w:p>
      <w:pPr>
        <w:pStyle w:val="Default"/>
        <w:keepNext/>
        <w:numPr>
          <w:ilvl w:val="0"/>
          <w:numId w:val="12"/>
        </w:numPr>
        <w:spacing w:after="240"/>
        <w:ind w:left="714" w:hanging="357"/>
        <w:jc w:val="both"/>
        <w:rPr>
          <w:b/>
          <w:bCs/>
          <w:sz w:val="22"/>
          <w:szCs w:val="22"/>
          <w:u w:val="single"/>
        </w:rPr>
      </w:pPr>
      <w:r>
        <w:rPr>
          <w:b/>
          <w:bCs/>
          <w:sz w:val="22"/>
          <w:szCs w:val="22"/>
          <w:u w:val="single"/>
        </w:rPr>
        <w:lastRenderedPageBreak/>
        <w:t>L’utilisation des moyens alloués</w:t>
      </w:r>
    </w:p>
    <w:p>
      <w:pPr>
        <w:spacing w:after="240"/>
        <w:jc w:val="both"/>
      </w:pPr>
      <w:r>
        <w:t>Les moyens sont alloués au pouvoir organisateur dans l’enseignement subventionné ou au chef d’établissement dans l’enseignement organisé par la Communauté française assurant la coordination du centre de gestion dans le respect des modalités définies par la convention.</w:t>
      </w:r>
    </w:p>
    <w:p>
      <w:pPr>
        <w:spacing w:after="120"/>
        <w:jc w:val="both"/>
      </w:pPr>
      <w:r>
        <w:rPr>
          <w:noProof/>
          <w:lang w:eastAsia="fr-BE"/>
        </w:rPr>
        <mc:AlternateContent>
          <mc:Choice Requires="wps">
            <w:drawing>
              <wp:inline distT="0" distB="0" distL="0" distR="0">
                <wp:extent cx="5760720" cy="1752600"/>
                <wp:effectExtent l="0" t="0" r="11430" b="19050"/>
                <wp:docPr id="6" name="Rectangle 6"/>
                <wp:cNvGraphicFramePr/>
                <a:graphic xmlns:a="http://schemas.openxmlformats.org/drawingml/2006/main">
                  <a:graphicData uri="http://schemas.microsoft.com/office/word/2010/wordprocessingShape">
                    <wps:wsp>
                      <wps:cNvSpPr/>
                      <wps:spPr>
                        <a:xfrm>
                          <a:off x="0" y="0"/>
                          <a:ext cx="5760720" cy="1752600"/>
                        </a:xfrm>
                        <a:prstGeom prst="rect">
                          <a:avLst/>
                        </a:prstGeom>
                        <a:solidFill>
                          <a:schemeClr val="accent3">
                            <a:lumMod val="60000"/>
                            <a:lumOff val="40000"/>
                          </a:schemeClr>
                        </a:solidFill>
                        <a:ln w="12700">
                          <a:solidFill>
                            <a:schemeClr val="tx1"/>
                          </a:solidFill>
                        </a:ln>
                      </wps:spPr>
                      <wps:style>
                        <a:lnRef idx="1">
                          <a:schemeClr val="accent3"/>
                        </a:lnRef>
                        <a:fillRef idx="2">
                          <a:schemeClr val="accent3"/>
                        </a:fillRef>
                        <a:effectRef idx="1">
                          <a:schemeClr val="accent3"/>
                        </a:effectRef>
                        <a:fontRef idx="minor">
                          <a:schemeClr val="dk1"/>
                        </a:fontRef>
                      </wps:style>
                      <wps:txbx>
                        <w:txbxContent>
                          <w:p>
                            <w:pPr>
                              <w:spacing w:after="0"/>
                              <w:jc w:val="both"/>
                            </w:pPr>
                            <w:r>
                              <w:rPr>
                                <w:b/>
                              </w:rPr>
                              <w:t>Par défaut</w:t>
                            </w:r>
                            <w:r>
                              <w:t>, les moyens octroyés dans le cadre de l’aide spécifique aux directions des écoles fondamentales seront versés sur le compte bancaire du Pouvoir organisateur assurant la coordination du centre de gestion, connu de l’Administration.</w:t>
                            </w:r>
                          </w:p>
                          <w:p>
                            <w:pPr>
                              <w:spacing w:after="0"/>
                              <w:jc w:val="both"/>
                            </w:pPr>
                            <w:r>
                              <w:t xml:space="preserve">Si les écoles et pouvoirs organisateurs partenaires souhaitent que les montants soient versés sur un </w:t>
                            </w:r>
                            <w:r>
                              <w:rPr>
                                <w:b/>
                              </w:rPr>
                              <w:t>compte bancaire spécifique du centre de gestion</w:t>
                            </w:r>
                            <w:r>
                              <w:t xml:space="preserve"> plutôt que sur le compte bancaire du PO « porteur », il convient de compléter les données relatives au compte bancaire destiné à recevoir ces montants dans les annexes 3 et 4 de la présente circulaire. En outre, l’annexe dument complétée et signée devra être accompagnée d’un </w:t>
                            </w:r>
                            <w:r>
                              <w:rPr>
                                <w:b/>
                              </w:rPr>
                              <w:t>relevé d’identité bancaire (RIB)</w:t>
                            </w:r>
                            <w:r>
                              <w:t xml:space="preserve"> délivré par la banque.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6" o:spid="_x0000_s1031" style="width:453.6pt;height:1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" fillcolor="#c9c9c9 [1942]" strokecolor="black [3213]" strokeweight="1pt">
                <v:textbox>
                  <w:txbxContent>
                    <w:p>
                      <w:pPr>
                        <w:spacing w:after="0"/>
                        <w:jc w:val="both"/>
                      </w:pPr>
                      <w:r>
                        <w:rPr>
                          <w:b/>
                        </w:rPr>
                        <w:t>Par défaut</w:t>
                      </w:r>
                      <w:r>
                        <w:t>, les moyens octroyés dans le cadre de l’aide spécifique aux directions des écoles fondamentales seront versés sur le compte bancaire du Pouvoir organisateur assurant la coordination du centre de gestion, connu de l’Administration.</w:t>
                      </w:r>
                    </w:p>
                    <w:p>
                      <w:pPr>
                        <w:spacing w:after="0"/>
                        <w:jc w:val="both"/>
                      </w:pPr>
                      <w:r>
                        <w:t xml:space="preserve">Si les écoles et pouvoirs organisateurs partenaires souhaitent que les montants soient versés sur un </w:t>
                      </w:r>
                      <w:r>
                        <w:rPr>
                          <w:b/>
                        </w:rPr>
                        <w:t>compte bancaire spécifique du centre de gestion</w:t>
                      </w:r>
                      <w:r>
                        <w:t xml:space="preserve"> plutôt que sur le compte bancaire du PO « porteur », il convient de compléter </w:t>
                      </w:r>
                      <w:r>
                        <w:t xml:space="preserve">les données relatives au compte bancaire </w:t>
                      </w:r>
                      <w:r>
                        <w:t xml:space="preserve">destiné à recevoir ces montants dans les annexes 3 et 4 de la présente circulaire. En outre, l’annexe dument complétée et signée devra être accompagnée d’un </w:t>
                      </w:r>
                      <w:r>
                        <w:rPr>
                          <w:b/>
                        </w:rPr>
                        <w:t>relevé d’identité bancaire (RIB)</w:t>
                      </w:r>
                      <w:r>
                        <w:t xml:space="preserve"> délivré par la banque.</w:t>
                      </w:r>
                    </w:p>
                  </w:txbxContent>
                </v:textbox>
                <w10:anchorlock/>
              </v:rect>
            </w:pict>
          </mc:Fallback>
        </mc:AlternateContent>
      </w:r>
    </w:p>
    <w:p>
      <w:pPr>
        <w:spacing w:after="240"/>
        <w:jc w:val="both"/>
      </w:pPr>
      <w:r>
        <w:t>Même s’il a adhéré à un centre de gestion, chaque pouvoir organisateur ou chaque chef d’établissement informe l’organe de concertation sociale qui le concerne des modalités d’utilisation des moyens alloués dans le cadre de l’aide spécifique aux directions.</w:t>
      </w:r>
    </w:p>
    <w:p>
      <w:pPr>
        <w:pStyle w:val="Default"/>
        <w:keepNext/>
        <w:numPr>
          <w:ilvl w:val="0"/>
          <w:numId w:val="12"/>
        </w:numPr>
        <w:spacing w:after="240"/>
        <w:ind w:left="714" w:hanging="357"/>
        <w:jc w:val="both"/>
        <w:rPr>
          <w:b/>
          <w:bCs/>
          <w:sz w:val="22"/>
          <w:szCs w:val="22"/>
          <w:u w:val="single"/>
        </w:rPr>
      </w:pPr>
      <w:r>
        <w:rPr>
          <w:b/>
          <w:bCs/>
          <w:sz w:val="22"/>
          <w:szCs w:val="22"/>
          <w:u w:val="single"/>
        </w:rPr>
        <w:t>Documents à renvoyer pour la création ou la reconduction d’un centre de gestion (1</w:t>
      </w:r>
      <w:r>
        <w:rPr>
          <w:b/>
          <w:bCs/>
          <w:sz w:val="22"/>
          <w:szCs w:val="22"/>
          <w:u w:val="single"/>
          <w:vertAlign w:val="superscript"/>
        </w:rPr>
        <w:t>er </w:t>
      </w:r>
      <w:r>
        <w:rPr>
          <w:b/>
          <w:bCs/>
          <w:sz w:val="22"/>
          <w:szCs w:val="22"/>
          <w:u w:val="single"/>
        </w:rPr>
        <w:t>septembre 2019 au 31 aout 2025)</w:t>
      </w:r>
    </w:p>
    <w:p>
      <w:pPr>
        <w:spacing w:after="120"/>
        <w:jc w:val="both"/>
        <w:rPr>
          <w:i/>
        </w:rPr>
      </w:pPr>
      <w:r>
        <w:rPr>
          <w:i/>
        </w:rPr>
        <w:t xml:space="preserve">Document reprenant les coordonnées des pouvoirs organisateurs </w:t>
      </w:r>
      <w:r>
        <w:t>(enseignement subventionné)</w:t>
      </w:r>
      <w:r>
        <w:rPr>
          <w:i/>
        </w:rPr>
        <w:t xml:space="preserve"> ou chefs d’établissements </w:t>
      </w:r>
      <w:r>
        <w:t>(enseignement organisé par la FWB)</w:t>
      </w:r>
      <w:r>
        <w:rPr>
          <w:i/>
        </w:rPr>
        <w:t xml:space="preserve"> et des écoles ayant adhéré au centre de gestion.</w:t>
      </w:r>
    </w:p>
    <w:p>
      <w:pPr>
        <w:spacing w:after="0"/>
        <w:jc w:val="both"/>
        <w:rPr>
          <w:i/>
        </w:rPr>
      </w:pPr>
      <w:r>
        <w:rPr>
          <w:b/>
          <w:i/>
        </w:rPr>
        <w:t>Annexe 3</w:t>
      </w:r>
      <w:r>
        <w:rPr>
          <w:i/>
        </w:rPr>
        <w:t xml:space="preserve"> : pour l’enseignement subventionné</w:t>
      </w:r>
    </w:p>
    <w:p>
      <w:pPr>
        <w:spacing w:after="120"/>
        <w:jc w:val="both"/>
        <w:rPr>
          <w:i/>
        </w:rPr>
      </w:pPr>
      <w:r>
        <w:rPr>
          <w:b/>
          <w:i/>
        </w:rPr>
        <w:t>Annexe 4</w:t>
      </w:r>
      <w:r>
        <w:rPr>
          <w:i/>
        </w:rPr>
        <w:t xml:space="preserve"> : pour l’enseignement organisé par la FWB</w:t>
      </w:r>
    </w:p>
    <w:p>
      <w:pPr>
        <w:spacing w:after="240"/>
        <w:jc w:val="both"/>
      </w:pPr>
      <w:r>
        <w:t xml:space="preserve">Afin d’informer la Direction générale de l’enseignement obligatoire des modalités de liquidation des moyens alloués, </w:t>
      </w:r>
      <w:r>
        <w:rPr>
          <w:b/>
        </w:rPr>
        <w:t xml:space="preserve">seuls les pouvoirs organisateurs ou chefs d’établissements assurant la coordination d’un centre de gestion font parvenir </w:t>
      </w:r>
      <w:r>
        <w:rPr>
          <w:b/>
          <w:u w:val="single"/>
        </w:rPr>
        <w:t>avant le 30 juin 2019</w:t>
      </w:r>
      <w:r>
        <w:rPr>
          <w:b/>
        </w:rPr>
        <w:t xml:space="preserve"> le document repris en annexe (annexe 3 ou annexe 4 de la présente circulaire)</w:t>
      </w:r>
      <w:r>
        <w:t>.</w:t>
      </w:r>
    </w:p>
    <w:p>
      <w:pPr>
        <w:spacing w:after="120"/>
        <w:jc w:val="both"/>
      </w:pPr>
      <w:r>
        <w:rPr>
          <w:noProof/>
          <w:lang w:eastAsia="fr-BE"/>
        </w:rPr>
        <mc:AlternateContent>
          <mc:Choice Requires="wps">
            <w:drawing>
              <wp:inline distT="0" distB="0" distL="0" distR="0">
                <wp:extent cx="5781675" cy="485775"/>
                <wp:effectExtent l="0" t="0" r="28575" b="28575"/>
                <wp:docPr id="4" name="Rectangle 4"/>
                <wp:cNvGraphicFramePr/>
                <a:graphic xmlns:a="http://schemas.openxmlformats.org/drawingml/2006/main">
                  <a:graphicData uri="http://schemas.microsoft.com/office/word/2010/wordprocessingShape">
                    <wps:wsp>
                      <wps:cNvSpPr/>
                      <wps:spPr>
                        <a:xfrm>
                          <a:off x="0" y="0"/>
                          <a:ext cx="5781675" cy="485775"/>
                        </a:xfrm>
                        <a:prstGeom prst="rect">
                          <a:avLst/>
                        </a:prstGeom>
                        <a:solidFill>
                          <a:schemeClr val="accent3">
                            <a:lumMod val="60000"/>
                            <a:lumOff val="40000"/>
                          </a:schemeClr>
                        </a:solidFill>
                        <a:ln w="12700">
                          <a:solidFill>
                            <a:schemeClr val="tx1"/>
                          </a:solidFill>
                        </a:ln>
                      </wps:spPr>
                      <wps:style>
                        <a:lnRef idx="1">
                          <a:schemeClr val="accent3"/>
                        </a:lnRef>
                        <a:fillRef idx="2">
                          <a:schemeClr val="accent3"/>
                        </a:fillRef>
                        <a:effectRef idx="1">
                          <a:schemeClr val="accent3"/>
                        </a:effectRef>
                        <a:fontRef idx="minor">
                          <a:schemeClr val="dk1"/>
                        </a:fontRef>
                      </wps:style>
                      <wps:txbx>
                        <w:txbxContent>
                          <w:p>
                            <w:pPr>
                              <w:spacing w:after="0"/>
                              <w:jc w:val="both"/>
                            </w:pPr>
                            <w:r>
                              <w:t xml:space="preserve">Cette annexe doit également être complétée pour les </w:t>
                            </w:r>
                            <w:r>
                              <w:rPr>
                                <w:b/>
                              </w:rPr>
                              <w:t>centres de gestion existant à ce jour et pour lesquels une reconduction est sollicitée</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4" o:spid="_x0000_s1032" style="width:455.25pt;height:38.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" fillcolor="#c9c9c9 [1942]" strokecolor="black [3213]" strokeweight="1pt">
                <v:textbox>
                  <w:txbxContent>
                    <w:p>
                      <w:pPr>
                        <w:spacing w:after="0"/>
                        <w:jc w:val="both"/>
                      </w:pPr>
                      <w:r>
                        <w:t xml:space="preserve">Cette annexe doit également être complétée pour les </w:t>
                      </w:r>
                      <w:r>
                        <w:rPr>
                          <w:b/>
                        </w:rPr>
                        <w:t>centres de gestion existant à ce jour et pour lesquels une reconduction est sollicitée</w:t>
                      </w:r>
                      <w:r>
                        <w:t>.</w:t>
                      </w:r>
                    </w:p>
                  </w:txbxContent>
                </v:textbox>
                <w10:anchorlock/>
              </v:rect>
            </w:pict>
          </mc:Fallback>
        </mc:AlternateContent>
      </w:r>
    </w:p>
    <w:p>
      <w:pPr>
        <w:keepNext/>
        <w:spacing w:after="120"/>
        <w:jc w:val="both"/>
      </w:pPr>
      <w:r>
        <w:t xml:space="preserve">L’annexe, dument complétée et signée, est à envoyer par courrier ou par mail à l’adresse suivante : </w:t>
      </w:r>
      <w:hyperlink r:id="rId10" w:history="1">
        <w:r>
          <w:rPr>
            <w:rStyle w:val="Lienhypertexte"/>
          </w:rPr>
          <w:t>secretariat.fondamental@cfwb.be</w:t>
        </w:r>
      </w:hyperlink>
    </w:p>
    <w:p>
      <w:pPr>
        <w:keepNext/>
        <w:spacing w:after="120"/>
        <w:jc w:val="both"/>
      </w:pPr>
      <w:r>
        <w:rPr>
          <w:noProof/>
          <w:lang w:eastAsia="fr-BE"/>
        </w:rPr>
        <mc:AlternateContent>
          <mc:Choice Requires="wps">
            <w:drawing>
              <wp:inline distT="0" distB="0" distL="0" distR="0">
                <wp:extent cx="2990850" cy="1019175"/>
                <wp:effectExtent l="0" t="0" r="19050" b="28575"/>
                <wp:docPr id="5" name="Rectangle 5"/>
                <wp:cNvGraphicFramePr/>
                <a:graphic xmlns:a="http://schemas.openxmlformats.org/drawingml/2006/main">
                  <a:graphicData uri="http://schemas.microsoft.com/office/word/2010/wordprocessingShape">
                    <wps:wsp>
                      <wps:cNvSpPr/>
                      <wps:spPr>
                        <a:xfrm>
                          <a:off x="0" y="0"/>
                          <a:ext cx="2990850" cy="1019175"/>
                        </a:xfrm>
                        <a:prstGeom prst="rect">
                          <a:avLst/>
                        </a:prstGeom>
                      </wps:spPr>
                      <wps:style>
                        <a:lnRef idx="2">
                          <a:schemeClr val="dk1"/>
                        </a:lnRef>
                        <a:fillRef idx="1">
                          <a:schemeClr val="lt1"/>
                        </a:fillRef>
                        <a:effectRef idx="0">
                          <a:schemeClr val="dk1"/>
                        </a:effectRef>
                        <a:fontRef idx="minor">
                          <a:schemeClr val="dk1"/>
                        </a:fontRef>
                      </wps:style>
                      <wps:txbx>
                        <w:txbxContent>
                          <w:p>
                            <w:pPr>
                              <w:autoSpaceDE w:val="0"/>
                              <w:autoSpaceDN w:val="0"/>
                              <w:adjustRightInd w:val="0"/>
                              <w:spacing w:after="0" w:line="240" w:lineRule="auto"/>
                              <w:rPr>
                                <w:rFonts w:eastAsiaTheme="minorHAnsi" w:cs="Calibri"/>
                                <w:color w:val="000000"/>
                              </w:rPr>
                            </w:pPr>
                            <w:r>
                              <w:rPr>
                                <w:rFonts w:eastAsiaTheme="minorHAnsi" w:cs="Calibri"/>
                                <w:b/>
                                <w:bCs/>
                                <w:color w:val="000000"/>
                              </w:rPr>
                              <w:t xml:space="preserve">Adresse d’envoi :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Ministère de la Fédération Wallonie-Bruxelles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Direction générale de l’Enseignement obligatoire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Bureau 2.F.211 </w:t>
                            </w:r>
                          </w:p>
                          <w:p>
                            <w:pPr>
                              <w:spacing w:after="0"/>
                            </w:pPr>
                            <w:r>
                              <w:rPr>
                                <w:rFonts w:eastAsiaTheme="minorHAnsi" w:cs="Calibri"/>
                                <w:color w:val="000000"/>
                              </w:rPr>
                              <w:t xml:space="preserve">Rue Adolphe </w:t>
                            </w:r>
                            <w:proofErr w:type="spellStart"/>
                            <w:r>
                              <w:rPr>
                                <w:rFonts w:eastAsiaTheme="minorHAnsi" w:cs="Calibri"/>
                                <w:color w:val="000000"/>
                              </w:rPr>
                              <w:t>Lavallée</w:t>
                            </w:r>
                            <w:proofErr w:type="spellEnd"/>
                            <w:r>
                              <w:rPr>
                                <w:rFonts w:eastAsiaTheme="minorHAnsi" w:cs="Calibri"/>
                                <w:color w:val="000000"/>
                              </w:rPr>
                              <w:t xml:space="preserve"> 1 à 1080 Bruxelles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5" o:spid="_x0000_s1033" style="width:235.5pt;height:80.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" fillcolor="white [3201]" strokecolor="black [3200]" strokeweight="1pt">
                <v:textbox>
                  <w:txbxContent>
                    <w:p>
                      <w:pPr>
                        <w:autoSpaceDE w:val="0"/>
                        <w:autoSpaceDN w:val="0"/>
                        <w:adjustRightInd w:val="0"/>
                        <w:spacing w:after="0" w:line="240" w:lineRule="auto"/>
                        <w:rPr>
                          <w:rFonts w:eastAsiaTheme="minorHAnsi" w:cs="Calibri"/>
                          <w:color w:val="000000"/>
                        </w:rPr>
                      </w:pPr>
                      <w:r>
                        <w:rPr>
                          <w:rFonts w:eastAsiaTheme="minorHAnsi" w:cs="Calibri"/>
                          <w:b/>
                          <w:bCs/>
                          <w:color w:val="000000"/>
                        </w:rPr>
                        <w:t xml:space="preserve">Adresse d’envoi :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Ministère de la Fédération Wallonie-Bruxelles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Direction générale de l’Enseignement obligatoire </w:t>
                      </w:r>
                    </w:p>
                    <w:p>
                      <w:pPr>
                        <w:autoSpaceDE w:val="0"/>
                        <w:autoSpaceDN w:val="0"/>
                        <w:adjustRightInd w:val="0"/>
                        <w:spacing w:after="0" w:line="240" w:lineRule="auto"/>
                        <w:rPr>
                          <w:rFonts w:eastAsiaTheme="minorHAnsi" w:cs="Calibri"/>
                          <w:color w:val="000000"/>
                        </w:rPr>
                      </w:pPr>
                      <w:r>
                        <w:rPr>
                          <w:rFonts w:eastAsiaTheme="minorHAnsi" w:cs="Calibri"/>
                          <w:color w:val="000000"/>
                        </w:rPr>
                        <w:t xml:space="preserve">Bureau 2.F.211 </w:t>
                      </w:r>
                    </w:p>
                    <w:p>
                      <w:pPr>
                        <w:spacing w:after="0"/>
                      </w:pPr>
                      <w:r>
                        <w:rPr>
                          <w:rFonts w:eastAsiaTheme="minorHAnsi" w:cs="Calibri"/>
                          <w:color w:val="000000"/>
                        </w:rPr>
                        <w:t xml:space="preserve">Rue Adolphe </w:t>
                      </w:r>
                      <w:proofErr w:type="spellStart"/>
                      <w:r>
                        <w:rPr>
                          <w:rFonts w:eastAsiaTheme="minorHAnsi" w:cs="Calibri"/>
                          <w:color w:val="000000"/>
                        </w:rPr>
                        <w:t>Lavallée</w:t>
                      </w:r>
                      <w:proofErr w:type="spellEnd"/>
                      <w:r>
                        <w:rPr>
                          <w:rFonts w:eastAsiaTheme="minorHAnsi" w:cs="Calibri"/>
                          <w:color w:val="000000"/>
                        </w:rPr>
                        <w:t xml:space="preserve"> 1 à 1080 Bruxelles</w:t>
                      </w:r>
                    </w:p>
                  </w:txbxContent>
                </v:textbox>
                <w10:anchorlock/>
              </v:rect>
            </w:pict>
          </mc:Fallback>
        </mc:AlternateContent>
      </w:r>
    </w:p>
    <w:p>
      <w:pPr>
        <w:spacing w:after="120"/>
        <w:jc w:val="both"/>
      </w:pPr>
      <w:r>
        <w:t>Les pouvoirs organisateurs ou écoles adhérant à un centre de gestion mais sans en assurer la coordination ne doivent donc renvoyer aucun document à l’Administration.</w:t>
      </w:r>
    </w:p>
    <w:p>
      <w:pPr>
        <w:spacing w:after="120"/>
        <w:jc w:val="both"/>
      </w:pPr>
      <w:r>
        <w:t>Les pouvoirs organisateurs ou établissements n’adhérant pas à un centre de gestion ne doivent dès lors accomplir aucune formalité.</w:t>
      </w:r>
    </w:p>
    <w:p>
      <w:pPr>
        <w:pStyle w:val="Chapitre"/>
        <w:keepNext/>
      </w:pPr>
      <w:r>
        <w:lastRenderedPageBreak/>
        <w:t>Contrôle de la subvention relative à l’aide spécifique aux directions</w:t>
      </w:r>
    </w:p>
    <w:p>
      <w:pPr>
        <w:keepNext/>
        <w:spacing w:after="240"/>
        <w:jc w:val="both"/>
      </w:pPr>
      <w:r>
        <w:t>L’article 110, § 2 du décret du 2 février 2007 prévoit que les montants irrégulièrement investis sont récupérés par la Fédération Wallonie-Bruxelles.</w:t>
      </w:r>
    </w:p>
    <w:p>
      <w:pPr>
        <w:spacing w:after="240"/>
        <w:jc w:val="both"/>
      </w:pPr>
      <w:r>
        <w:t>Par conséquent, tout pouvoir organisateur pour l’enseignement subventionné ou tout chef d’établissement pour l’enseignement organisé par la FWB doit tenir à disposition du Service de la vérification comptable toutes les pièces justificatives relatives aux dépenses engagées sur les moyens alloués pour l’aide spécifique aux directions.</w:t>
      </w:r>
    </w:p>
    <w:p>
      <w:pPr>
        <w:spacing w:after="240"/>
        <w:jc w:val="both"/>
      </w:pPr>
      <w:r>
        <w:t xml:space="preserve">Si un établissement n’utilise pas la totalité du montant accordé en matière d’aide spécifique, il peut </w:t>
      </w:r>
      <w:r>
        <w:rPr>
          <w:b/>
        </w:rPr>
        <w:t>reporter le solde non utilisé à l’année suivante</w:t>
      </w:r>
      <w:r>
        <w:t>.</w:t>
      </w:r>
    </w:p>
    <w:p>
      <w:pPr>
        <w:spacing w:after="240"/>
        <w:jc w:val="both"/>
      </w:pPr>
      <w:r>
        <w:rPr>
          <w:noProof/>
          <w:lang w:eastAsia="fr-BE"/>
        </w:rPr>
        <mc:AlternateContent>
          <mc:Choice Requires="wps">
            <w:drawing>
              <wp:inline distT="0" distB="0" distL="0" distR="0">
                <wp:extent cx="5760720" cy="819150"/>
                <wp:effectExtent l="0" t="0" r="11430" b="19050"/>
                <wp:docPr id="7" name="Rectangle 7"/>
                <wp:cNvGraphicFramePr/>
                <a:graphic xmlns:a="http://schemas.openxmlformats.org/drawingml/2006/main">
                  <a:graphicData uri="http://schemas.microsoft.com/office/word/2010/wordprocessingShape">
                    <wps:wsp>
                      <wps:cNvSpPr/>
                      <wps:spPr>
                        <a:xfrm>
                          <a:off x="0" y="0"/>
                          <a:ext cx="5760720" cy="819150"/>
                        </a:xfrm>
                        <a:prstGeom prst="rect">
                          <a:avLst/>
                        </a:prstGeom>
                        <a:noFill/>
                        <a:ln w="6350" cap="flat" cmpd="sng" algn="ctr">
                          <a:solidFill>
                            <a:sysClr val="windowText" lastClr="000000"/>
                          </a:solidFill>
                          <a:prstDash val="solid"/>
                          <a:miter lim="800000"/>
                        </a:ln>
                        <a:effectLst/>
                      </wps:spPr>
                      <wps:txbx>
                        <w:txbxContent>
                          <w:p>
                            <w:pPr>
                              <w:spacing w:after="0"/>
                              <w:jc w:val="both"/>
                            </w:pPr>
                            <w:r>
                              <w:rPr>
                                <w:rFonts w:cs="Calibri"/>
                              </w:rPr>
                              <w:t>À</w:t>
                            </w:r>
                            <w:r>
                              <w:t xml:space="preserve"> partir du moment où un montant non utilisé est reporté à l’année suivante, il est cumulé à la subvention octroyée pour l’année scolaire en cours. Le solde éventuel de moins de 5.000 euros  pouvant être utilisé à l’achat de matériel (cf. point 1.1.) porte dès lors sur le </w:t>
                            </w:r>
                            <w:r>
                              <w:rPr>
                                <w:b/>
                              </w:rPr>
                              <w:t>montant total disponible pour l’année scolaire en cours</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7" o:spid="_x0000_s1034" style="width:453.6pt;height: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" filled="f" strokecolor="windowText" strokeweight=".5pt">
                <v:textbox>
                  <w:txbxContent>
                    <w:p>
                      <w:pPr>
                        <w:spacing w:after="0"/>
                        <w:jc w:val="both"/>
                      </w:pPr>
                      <w:r>
                        <w:rPr>
                          <w:rFonts w:cs="Calibri"/>
                        </w:rPr>
                        <w:t>À</w:t>
                      </w:r>
                      <w:r>
                        <w:t xml:space="preserve"> partir du moment où un montant non utilisé est reporté à l’année suivante, il est cumulé à la subvention octroyée pour l’année scolaire en cours. Le solde </w:t>
                      </w:r>
                      <w:r>
                        <w:t xml:space="preserve">éventuel </w:t>
                      </w:r>
                      <w:r>
                        <w:t xml:space="preserve">de moins de 5.000 euros </w:t>
                      </w:r>
                      <w:r>
                        <w:t xml:space="preserve"> pouvant être utilisé à l’achat de matériel (cf. point 1.1.)</w:t>
                      </w:r>
                      <w:r>
                        <w:t xml:space="preserve"> porte dès lors sur le </w:t>
                      </w:r>
                      <w:r>
                        <w:rPr>
                          <w:b/>
                        </w:rPr>
                        <w:t>montant total disponible pour l’année scolaire en cours</w:t>
                      </w:r>
                      <w:r>
                        <w:t>.</w:t>
                      </w:r>
                    </w:p>
                  </w:txbxContent>
                </v:textbox>
                <w10:anchorlock/>
              </v:rect>
            </w:pict>
          </mc:Fallback>
        </mc:AlternateContent>
      </w:r>
    </w:p>
    <w:p>
      <w:pPr>
        <w:spacing w:after="120"/>
        <w:jc w:val="both"/>
      </w:pPr>
      <w:r>
        <w:t>Il est recommandé de consigner les documents (PV de réunion ou document spécifique) attestant que les directions concernées ont été consultées quant au choix de la forme qu’a prise l’aide spécifique et que les organes de concertation ont été informés des modalités d’utilisation des moyens.</w:t>
      </w:r>
    </w:p>
    <w:p>
      <w:pPr>
        <w:spacing w:after="120"/>
      </w:pPr>
    </w:p>
    <w:p>
      <w:pPr>
        <w:spacing w:after="120"/>
      </w:pPr>
    </w:p>
    <w:p>
      <w:pPr>
        <w:spacing w:after="120"/>
        <w:sectPr>
          <w:footerReference w:type="default" r:id="rId11"/>
          <w:pgSz w:w="11906" w:h="16838"/>
          <w:pgMar w:top="1417" w:right="1417" w:bottom="1135" w:left="1417" w:header="680" w:footer="283" w:gutter="0"/>
          <w:pgNumType w:start="1"/>
          <w:cols w:space="708"/>
          <w:docGrid w:linePitch="360"/>
        </w:sectPr>
      </w:pPr>
    </w:p>
    <w:p>
      <w:pPr>
        <w:pBdr>
          <w:top w:val="single" w:sz="12" w:space="1" w:color="auto"/>
          <w:left w:val="single" w:sz="12" w:space="4" w:color="auto"/>
          <w:bottom w:val="single" w:sz="12" w:space="1" w:color="auto"/>
          <w:right w:val="single" w:sz="12" w:space="4" w:color="auto"/>
        </w:pBdr>
        <w:spacing w:after="0"/>
        <w:ind w:left="1418" w:hanging="1418"/>
        <w:rPr>
          <w:rFonts w:cs="Calibri"/>
          <w:b/>
          <w:sz w:val="28"/>
          <w:szCs w:val="28"/>
        </w:rPr>
      </w:pPr>
      <w:r>
        <w:rPr>
          <w:rFonts w:cs="Calibri"/>
          <w:b/>
          <w:sz w:val="28"/>
          <w:szCs w:val="28"/>
        </w:rPr>
        <w:lastRenderedPageBreak/>
        <w:t>Annexe 1 –  Constitution d’un partenariat entre plusieurs établissements afin de bénéficier de l’aide spécifique aux directions</w:t>
      </w:r>
    </w:p>
    <w:p>
      <w:pPr>
        <w:pBdr>
          <w:top w:val="single" w:sz="12" w:space="1" w:color="auto"/>
          <w:left w:val="single" w:sz="12" w:space="4" w:color="auto"/>
          <w:bottom w:val="single" w:sz="12" w:space="1" w:color="auto"/>
          <w:right w:val="single" w:sz="12" w:space="4" w:color="auto"/>
        </w:pBdr>
        <w:spacing w:after="120"/>
        <w:jc w:val="right"/>
        <w:rPr>
          <w:rFonts w:cs="Calibri"/>
          <w:b/>
          <w:sz w:val="28"/>
          <w:szCs w:val="28"/>
        </w:rPr>
      </w:pPr>
      <w:r>
        <w:rPr>
          <w:rFonts w:cs="Calibri"/>
          <w:b/>
          <w:sz w:val="28"/>
          <w:szCs w:val="28"/>
        </w:rPr>
        <w:t>Année(s) scolaire(s)</w:t>
      </w:r>
      <w:r>
        <w:rPr>
          <w:rFonts w:cs="Calibri"/>
          <w:b/>
          <w:sz w:val="28"/>
          <w:szCs w:val="28"/>
          <w:vertAlign w:val="superscript"/>
        </w:rPr>
        <w:footnoteReference w:id="6"/>
      </w:r>
      <w:r>
        <w:rPr>
          <w:rFonts w:cs="Calibri"/>
          <w:b/>
          <w:sz w:val="28"/>
          <w:szCs w:val="28"/>
        </w:rPr>
        <w:t xml:space="preserve"> 20…… </w:t>
      </w:r>
      <w:r>
        <w:rPr>
          <w:rFonts w:asciiTheme="minorHAnsi" w:hAnsiTheme="minorHAnsi" w:cstheme="minorHAnsi"/>
          <w:b/>
          <w:sz w:val="28"/>
        </w:rPr>
        <w:t>–</w:t>
      </w:r>
      <w:r>
        <w:rPr>
          <w:rFonts w:cs="Calibri"/>
          <w:b/>
          <w:sz w:val="28"/>
          <w:szCs w:val="28"/>
        </w:rPr>
        <w:t xml:space="preserve"> 20……</w:t>
      </w:r>
    </w:p>
    <w:p>
      <w:pPr>
        <w:spacing w:after="120"/>
        <w:jc w:val="center"/>
        <w:rPr>
          <w:i/>
          <w:sz w:val="24"/>
        </w:rPr>
      </w:pPr>
      <w:r>
        <w:rPr>
          <w:i/>
          <w:sz w:val="24"/>
        </w:rPr>
        <w:t>Formulaire à compléter en concertation avec l’ensemble des établissements partenaires et à envoyer en 1 seul exemplaire à l’Administration</w:t>
      </w:r>
    </w:p>
    <w:p>
      <w:pPr>
        <w:spacing w:after="120"/>
        <w:jc w:val="center"/>
        <w:rPr>
          <w:b/>
          <w:i/>
          <w:sz w:val="24"/>
        </w:rPr>
      </w:pPr>
      <w:r>
        <w:rPr>
          <w:b/>
          <w:i/>
          <w:sz w:val="24"/>
        </w:rPr>
        <w:t xml:space="preserve">À renvoyer à l’adresse suivante </w:t>
      </w:r>
      <w:r>
        <w:rPr>
          <w:b/>
          <w:i/>
          <w:sz w:val="24"/>
          <w:u w:val="single"/>
        </w:rPr>
        <w:t>avant le 30 juin</w:t>
      </w:r>
      <w:r>
        <w:rPr>
          <w:b/>
          <w:i/>
          <w:sz w:val="24"/>
        </w:rPr>
        <w:t xml:space="preserve"> précédant</w:t>
      </w:r>
      <w:r>
        <w:rPr>
          <w:b/>
          <w:i/>
          <w:sz w:val="24"/>
        </w:rPr>
        <w:br/>
        <w:t xml:space="preserve"> la date de son entrée en vigueur :</w:t>
      </w:r>
    </w:p>
    <w:p>
      <w:pPr>
        <w:spacing w:after="0"/>
        <w:jc w:val="center"/>
        <w:rPr>
          <w:i/>
        </w:rPr>
      </w:pPr>
      <w:r>
        <w:rPr>
          <w:i/>
        </w:rPr>
        <w:t>Direction générale de l'Enseignement obligatoire</w:t>
      </w:r>
    </w:p>
    <w:p>
      <w:pPr>
        <w:spacing w:after="0"/>
        <w:jc w:val="center"/>
        <w:rPr>
          <w:i/>
        </w:rPr>
      </w:pPr>
      <w:r>
        <w:rPr>
          <w:i/>
        </w:rPr>
        <w:t>Bureau 2.F.211</w:t>
      </w:r>
    </w:p>
    <w:p>
      <w:pPr>
        <w:spacing w:after="0"/>
        <w:jc w:val="center"/>
        <w:rPr>
          <w:i/>
        </w:rPr>
      </w:pPr>
      <w:r>
        <w:rPr>
          <w:i/>
        </w:rPr>
        <w:t xml:space="preserve">Rue Adolphe </w:t>
      </w:r>
      <w:proofErr w:type="spellStart"/>
      <w:r>
        <w:rPr>
          <w:i/>
        </w:rPr>
        <w:t>Lavallée</w:t>
      </w:r>
      <w:proofErr w:type="spellEnd"/>
      <w:r>
        <w:rPr>
          <w:i/>
        </w:rPr>
        <w:t>, 1</w:t>
      </w:r>
    </w:p>
    <w:p>
      <w:pPr>
        <w:jc w:val="center"/>
        <w:rPr>
          <w:i/>
        </w:rPr>
      </w:pPr>
      <w:r>
        <w:rPr>
          <w:i/>
        </w:rPr>
        <w:t>1080 BRUXELLES</w:t>
      </w:r>
    </w:p>
    <w:tbl>
      <w:tblPr>
        <w:tblStyle w:val="Grilledutableau1"/>
        <w:tblW w:w="10490" w:type="dxa"/>
        <w:tblInd w:w="-157"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90"/>
      </w:tblGrid>
      <w:tr>
        <w:trPr>
          <w:trHeight w:val="800"/>
        </w:trPr>
        <w:tc>
          <w:tcPr>
            <w:tcW w:w="10490" w:type="dxa"/>
          </w:tcPr>
          <w:p>
            <w:pPr>
              <w:spacing w:before="120" w:after="120"/>
              <w:rPr>
                <w:sz w:val="24"/>
              </w:rPr>
            </w:pPr>
            <w:r>
              <w:rPr>
                <w:sz w:val="24"/>
              </w:rPr>
              <w:t>Année scolaire d’entrée en vigueur : 20…… – 20……</w:t>
            </w:r>
          </w:p>
          <w:p>
            <w:pPr>
              <w:spacing w:before="120" w:after="120"/>
              <w:rPr>
                <w:sz w:val="24"/>
              </w:rPr>
            </w:pPr>
            <w:r>
              <w:rPr>
                <w:sz w:val="24"/>
              </w:rPr>
              <w:t>Durée du partenariat (nombre d’années scolaires) : ………</w:t>
            </w:r>
          </w:p>
        </w:tc>
      </w:tr>
    </w:tbl>
    <w:p>
      <w:pPr>
        <w:spacing w:after="0"/>
        <w:rPr>
          <w:sz w:val="16"/>
        </w:rPr>
      </w:pPr>
    </w:p>
    <w:tbl>
      <w:tblPr>
        <w:tblStyle w:val="Grilledutableau1"/>
        <w:tblW w:w="10490" w:type="dxa"/>
        <w:tblInd w:w="-157" w:type="dxa"/>
        <w:tblLook w:val="04A0" w:firstRow="1" w:lastRow="0" w:firstColumn="1" w:lastColumn="0" w:noHBand="0" w:noVBand="1"/>
      </w:tblPr>
      <w:tblGrid>
        <w:gridCol w:w="1276"/>
        <w:gridCol w:w="1276"/>
        <w:gridCol w:w="1276"/>
        <w:gridCol w:w="4678"/>
        <w:gridCol w:w="1984"/>
      </w:tblGrid>
      <w:tr>
        <w:trPr>
          <w:trHeight w:val="454"/>
        </w:trPr>
        <w:tc>
          <w:tcPr>
            <w:tcW w:w="10490" w:type="dxa"/>
            <w:gridSpan w:val="5"/>
            <w:tcBorders>
              <w:top w:val="single" w:sz="12" w:space="0" w:color="auto"/>
              <w:left w:val="single" w:sz="12" w:space="0" w:color="auto"/>
              <w:right w:val="single" w:sz="12" w:space="0" w:color="auto"/>
            </w:tcBorders>
            <w:vAlign w:val="center"/>
          </w:tcPr>
          <w:p>
            <w:pPr>
              <w:rPr>
                <w:rFonts w:asciiTheme="minorHAnsi" w:hAnsiTheme="minorHAnsi" w:cstheme="minorHAnsi"/>
              </w:rPr>
            </w:pPr>
            <w:r>
              <w:rPr>
                <w:rFonts w:asciiTheme="minorHAnsi" w:hAnsiTheme="minorHAnsi" w:cstheme="minorHAnsi"/>
                <w:b/>
                <w:bCs/>
                <w:sz w:val="28"/>
              </w:rPr>
              <w:t>Liste des P.O. et écoles adhérant au partenariat dès le 1/09/20……</w:t>
            </w:r>
          </w:p>
        </w:tc>
      </w:tr>
      <w:tr>
        <w:trPr>
          <w:trHeight w:val="510"/>
        </w:trPr>
        <w:tc>
          <w:tcPr>
            <w:tcW w:w="1276" w:type="dxa"/>
            <w:tcBorders>
              <w:left w:val="single" w:sz="12" w:space="0" w:color="auto"/>
            </w:tcBorders>
            <w:vAlign w:val="center"/>
          </w:tcPr>
          <w:p>
            <w:pPr>
              <w:jc w:val="center"/>
              <w:rPr>
                <w:b/>
                <w:sz w:val="24"/>
              </w:rPr>
            </w:pPr>
            <w:r>
              <w:rPr>
                <w:b/>
                <w:sz w:val="24"/>
              </w:rPr>
              <w:t>N° FASE P.O.</w:t>
            </w:r>
          </w:p>
        </w:tc>
        <w:tc>
          <w:tcPr>
            <w:tcW w:w="1276" w:type="dxa"/>
            <w:vAlign w:val="center"/>
          </w:tcPr>
          <w:p>
            <w:pPr>
              <w:jc w:val="center"/>
              <w:rPr>
                <w:b/>
                <w:sz w:val="24"/>
              </w:rPr>
            </w:pPr>
            <w:r>
              <w:rPr>
                <w:b/>
                <w:sz w:val="24"/>
              </w:rPr>
              <w:t>N° FASE école</w:t>
            </w:r>
          </w:p>
        </w:tc>
        <w:tc>
          <w:tcPr>
            <w:tcW w:w="1276" w:type="dxa"/>
            <w:vAlign w:val="center"/>
          </w:tcPr>
          <w:p>
            <w:pPr>
              <w:jc w:val="center"/>
              <w:rPr>
                <w:b/>
                <w:sz w:val="24"/>
              </w:rPr>
            </w:pPr>
            <w:r>
              <w:rPr>
                <w:b/>
                <w:sz w:val="24"/>
              </w:rPr>
              <w:t>Ordinaire/</w:t>
            </w:r>
            <w:r>
              <w:rPr>
                <w:b/>
                <w:sz w:val="24"/>
              </w:rPr>
              <w:br/>
              <w:t>Spécialisé</w:t>
            </w:r>
          </w:p>
        </w:tc>
        <w:tc>
          <w:tcPr>
            <w:tcW w:w="4678" w:type="dxa"/>
            <w:vAlign w:val="center"/>
          </w:tcPr>
          <w:p>
            <w:pPr>
              <w:jc w:val="center"/>
              <w:rPr>
                <w:b/>
                <w:sz w:val="24"/>
              </w:rPr>
            </w:pPr>
            <w:r>
              <w:rPr>
                <w:b/>
                <w:sz w:val="24"/>
              </w:rPr>
              <w:t>Dénomination et adresse de l’école</w:t>
            </w:r>
          </w:p>
        </w:tc>
        <w:tc>
          <w:tcPr>
            <w:tcW w:w="1984" w:type="dxa"/>
            <w:tcBorders>
              <w:right w:val="single" w:sz="12" w:space="0" w:color="auto"/>
            </w:tcBorders>
            <w:vAlign w:val="center"/>
          </w:tcPr>
          <w:p>
            <w:pPr>
              <w:jc w:val="center"/>
              <w:rPr>
                <w:b/>
                <w:sz w:val="24"/>
              </w:rPr>
            </w:pPr>
            <w:r>
              <w:rPr>
                <w:b/>
                <w:sz w:val="24"/>
              </w:rPr>
              <w:t xml:space="preserve">Nombre d’élèves au 15/01 </w:t>
            </w:r>
            <w:r>
              <w:rPr>
                <w:b/>
                <w:sz w:val="24"/>
                <w:vertAlign w:val="superscript"/>
              </w:rPr>
              <w:footnoteReference w:id="7"/>
            </w:r>
          </w:p>
        </w:tc>
      </w:tr>
      <w:tr>
        <w:tc>
          <w:tcPr>
            <w:tcW w:w="1276" w:type="dxa"/>
            <w:tcBorders>
              <w:left w:val="single" w:sz="12" w:space="0" w:color="auto"/>
            </w:tcBorders>
          </w:tcPr>
          <w:p>
            <w:pPr>
              <w:spacing w:before="120" w:after="120"/>
            </w:pPr>
          </w:p>
        </w:tc>
        <w:tc>
          <w:tcPr>
            <w:tcW w:w="1276" w:type="dxa"/>
          </w:tcPr>
          <w:p>
            <w:pPr>
              <w:spacing w:before="120" w:after="120"/>
            </w:pPr>
          </w:p>
        </w:tc>
        <w:tc>
          <w:tcPr>
            <w:tcW w:w="1276" w:type="dxa"/>
          </w:tcPr>
          <w:p>
            <w:pPr>
              <w:spacing w:before="120" w:after="120"/>
            </w:pPr>
          </w:p>
        </w:tc>
        <w:tc>
          <w:tcPr>
            <w:tcW w:w="4678" w:type="dxa"/>
          </w:tcPr>
          <w:p>
            <w:pPr>
              <w:spacing w:before="120" w:after="120"/>
            </w:pPr>
          </w:p>
        </w:tc>
        <w:tc>
          <w:tcPr>
            <w:tcW w:w="1984" w:type="dxa"/>
            <w:tcBorders>
              <w:right w:val="single" w:sz="12" w:space="0" w:color="auto"/>
            </w:tcBorders>
          </w:tcPr>
          <w:p>
            <w:pPr>
              <w:spacing w:before="120" w:after="120"/>
            </w:pPr>
          </w:p>
        </w:tc>
      </w:tr>
      <w:tr>
        <w:tc>
          <w:tcPr>
            <w:tcW w:w="1276" w:type="dxa"/>
            <w:tcBorders>
              <w:left w:val="single" w:sz="12" w:space="0" w:color="auto"/>
            </w:tcBorders>
          </w:tcPr>
          <w:p>
            <w:pPr>
              <w:spacing w:before="120" w:after="120"/>
            </w:pPr>
          </w:p>
        </w:tc>
        <w:tc>
          <w:tcPr>
            <w:tcW w:w="1276" w:type="dxa"/>
          </w:tcPr>
          <w:p>
            <w:pPr>
              <w:spacing w:before="120" w:after="120"/>
            </w:pPr>
          </w:p>
        </w:tc>
        <w:tc>
          <w:tcPr>
            <w:tcW w:w="1276" w:type="dxa"/>
          </w:tcPr>
          <w:p>
            <w:pPr>
              <w:spacing w:before="120" w:after="120"/>
            </w:pPr>
          </w:p>
        </w:tc>
        <w:tc>
          <w:tcPr>
            <w:tcW w:w="4678" w:type="dxa"/>
          </w:tcPr>
          <w:p>
            <w:pPr>
              <w:spacing w:before="120" w:after="120"/>
            </w:pPr>
          </w:p>
        </w:tc>
        <w:tc>
          <w:tcPr>
            <w:tcW w:w="1984" w:type="dxa"/>
            <w:tcBorders>
              <w:right w:val="single" w:sz="12" w:space="0" w:color="auto"/>
            </w:tcBorders>
          </w:tcPr>
          <w:p>
            <w:pPr>
              <w:spacing w:before="120" w:after="120"/>
            </w:pPr>
          </w:p>
        </w:tc>
      </w:tr>
      <w:tr>
        <w:tc>
          <w:tcPr>
            <w:tcW w:w="1276" w:type="dxa"/>
            <w:tcBorders>
              <w:left w:val="single" w:sz="12" w:space="0" w:color="auto"/>
            </w:tcBorders>
          </w:tcPr>
          <w:p>
            <w:pPr>
              <w:spacing w:before="120" w:after="120"/>
            </w:pPr>
          </w:p>
        </w:tc>
        <w:tc>
          <w:tcPr>
            <w:tcW w:w="1276" w:type="dxa"/>
          </w:tcPr>
          <w:p>
            <w:pPr>
              <w:spacing w:before="120" w:after="120"/>
            </w:pPr>
          </w:p>
        </w:tc>
        <w:tc>
          <w:tcPr>
            <w:tcW w:w="1276" w:type="dxa"/>
          </w:tcPr>
          <w:p>
            <w:pPr>
              <w:spacing w:before="120" w:after="120"/>
            </w:pPr>
          </w:p>
        </w:tc>
        <w:tc>
          <w:tcPr>
            <w:tcW w:w="4678" w:type="dxa"/>
          </w:tcPr>
          <w:p>
            <w:pPr>
              <w:spacing w:before="120" w:after="120"/>
            </w:pPr>
          </w:p>
        </w:tc>
        <w:tc>
          <w:tcPr>
            <w:tcW w:w="1984" w:type="dxa"/>
            <w:tcBorders>
              <w:right w:val="single" w:sz="12" w:space="0" w:color="auto"/>
            </w:tcBorders>
          </w:tcPr>
          <w:p>
            <w:pPr>
              <w:spacing w:before="120" w:after="120"/>
            </w:pPr>
          </w:p>
        </w:tc>
      </w:tr>
      <w:tr>
        <w:tc>
          <w:tcPr>
            <w:tcW w:w="1276" w:type="dxa"/>
            <w:tcBorders>
              <w:left w:val="single" w:sz="12" w:space="0" w:color="auto"/>
            </w:tcBorders>
          </w:tcPr>
          <w:p>
            <w:pPr>
              <w:spacing w:before="120" w:after="120"/>
            </w:pPr>
          </w:p>
        </w:tc>
        <w:tc>
          <w:tcPr>
            <w:tcW w:w="1276" w:type="dxa"/>
          </w:tcPr>
          <w:p>
            <w:pPr>
              <w:spacing w:before="120" w:after="120"/>
            </w:pPr>
          </w:p>
        </w:tc>
        <w:tc>
          <w:tcPr>
            <w:tcW w:w="1276" w:type="dxa"/>
          </w:tcPr>
          <w:p>
            <w:pPr>
              <w:spacing w:before="120" w:after="120"/>
            </w:pPr>
          </w:p>
        </w:tc>
        <w:tc>
          <w:tcPr>
            <w:tcW w:w="4678" w:type="dxa"/>
          </w:tcPr>
          <w:p>
            <w:pPr>
              <w:spacing w:before="120" w:after="120"/>
            </w:pPr>
          </w:p>
        </w:tc>
        <w:tc>
          <w:tcPr>
            <w:tcW w:w="1984" w:type="dxa"/>
            <w:tcBorders>
              <w:right w:val="single" w:sz="12" w:space="0" w:color="auto"/>
            </w:tcBorders>
          </w:tcPr>
          <w:p>
            <w:pPr>
              <w:spacing w:before="120" w:after="120"/>
            </w:pPr>
          </w:p>
        </w:tc>
      </w:tr>
      <w:tr>
        <w:tc>
          <w:tcPr>
            <w:tcW w:w="1276" w:type="dxa"/>
            <w:tcBorders>
              <w:left w:val="single" w:sz="12" w:space="0" w:color="auto"/>
            </w:tcBorders>
          </w:tcPr>
          <w:p>
            <w:pPr>
              <w:spacing w:before="120" w:after="120"/>
            </w:pPr>
          </w:p>
        </w:tc>
        <w:tc>
          <w:tcPr>
            <w:tcW w:w="1276" w:type="dxa"/>
          </w:tcPr>
          <w:p>
            <w:pPr>
              <w:spacing w:before="120" w:after="120"/>
            </w:pPr>
          </w:p>
        </w:tc>
        <w:tc>
          <w:tcPr>
            <w:tcW w:w="1276" w:type="dxa"/>
          </w:tcPr>
          <w:p>
            <w:pPr>
              <w:spacing w:before="120" w:after="120"/>
            </w:pPr>
          </w:p>
        </w:tc>
        <w:tc>
          <w:tcPr>
            <w:tcW w:w="4678" w:type="dxa"/>
          </w:tcPr>
          <w:p>
            <w:pPr>
              <w:spacing w:before="120" w:after="120"/>
            </w:pPr>
          </w:p>
        </w:tc>
        <w:tc>
          <w:tcPr>
            <w:tcW w:w="1984" w:type="dxa"/>
            <w:tcBorders>
              <w:right w:val="single" w:sz="12" w:space="0" w:color="auto"/>
            </w:tcBorders>
          </w:tcPr>
          <w:p>
            <w:pPr>
              <w:spacing w:before="120" w:after="120"/>
            </w:pPr>
          </w:p>
        </w:tc>
      </w:tr>
      <w:tr>
        <w:tc>
          <w:tcPr>
            <w:tcW w:w="1276" w:type="dxa"/>
            <w:tcBorders>
              <w:left w:val="single" w:sz="12" w:space="0" w:color="auto"/>
            </w:tcBorders>
          </w:tcPr>
          <w:p>
            <w:pPr>
              <w:spacing w:before="120" w:after="120"/>
            </w:pPr>
          </w:p>
        </w:tc>
        <w:tc>
          <w:tcPr>
            <w:tcW w:w="1276" w:type="dxa"/>
          </w:tcPr>
          <w:p>
            <w:pPr>
              <w:spacing w:before="120" w:after="120"/>
            </w:pPr>
          </w:p>
        </w:tc>
        <w:tc>
          <w:tcPr>
            <w:tcW w:w="1276" w:type="dxa"/>
          </w:tcPr>
          <w:p>
            <w:pPr>
              <w:spacing w:before="120" w:after="120"/>
            </w:pPr>
          </w:p>
        </w:tc>
        <w:tc>
          <w:tcPr>
            <w:tcW w:w="4678" w:type="dxa"/>
          </w:tcPr>
          <w:p>
            <w:pPr>
              <w:spacing w:before="120" w:after="120"/>
            </w:pPr>
          </w:p>
        </w:tc>
        <w:tc>
          <w:tcPr>
            <w:tcW w:w="1984" w:type="dxa"/>
            <w:tcBorders>
              <w:right w:val="single" w:sz="12" w:space="0" w:color="auto"/>
            </w:tcBorders>
          </w:tcPr>
          <w:p>
            <w:pPr>
              <w:spacing w:before="120" w:after="120"/>
            </w:pPr>
          </w:p>
        </w:tc>
      </w:tr>
      <w:tr>
        <w:tc>
          <w:tcPr>
            <w:tcW w:w="1276" w:type="dxa"/>
            <w:tcBorders>
              <w:left w:val="single" w:sz="12" w:space="0" w:color="auto"/>
              <w:bottom w:val="single" w:sz="12" w:space="0" w:color="auto"/>
            </w:tcBorders>
          </w:tcPr>
          <w:p>
            <w:pPr>
              <w:spacing w:before="120" w:after="120"/>
            </w:pPr>
          </w:p>
        </w:tc>
        <w:tc>
          <w:tcPr>
            <w:tcW w:w="1276" w:type="dxa"/>
            <w:tcBorders>
              <w:bottom w:val="single" w:sz="12" w:space="0" w:color="auto"/>
            </w:tcBorders>
          </w:tcPr>
          <w:p>
            <w:pPr>
              <w:spacing w:before="120" w:after="120"/>
            </w:pPr>
          </w:p>
        </w:tc>
        <w:tc>
          <w:tcPr>
            <w:tcW w:w="1276" w:type="dxa"/>
            <w:tcBorders>
              <w:bottom w:val="single" w:sz="12" w:space="0" w:color="auto"/>
            </w:tcBorders>
          </w:tcPr>
          <w:p>
            <w:pPr>
              <w:spacing w:before="120" w:after="120"/>
            </w:pPr>
          </w:p>
        </w:tc>
        <w:tc>
          <w:tcPr>
            <w:tcW w:w="4678" w:type="dxa"/>
            <w:tcBorders>
              <w:bottom w:val="single" w:sz="12" w:space="0" w:color="auto"/>
            </w:tcBorders>
          </w:tcPr>
          <w:p>
            <w:pPr>
              <w:spacing w:before="120" w:after="120"/>
            </w:pPr>
          </w:p>
        </w:tc>
        <w:tc>
          <w:tcPr>
            <w:tcW w:w="1984" w:type="dxa"/>
            <w:tcBorders>
              <w:bottom w:val="single" w:sz="12" w:space="0" w:color="auto"/>
              <w:right w:val="single" w:sz="12" w:space="0" w:color="auto"/>
            </w:tcBorders>
          </w:tcPr>
          <w:p>
            <w:pPr>
              <w:spacing w:before="120" w:after="120"/>
            </w:pPr>
          </w:p>
        </w:tc>
      </w:tr>
    </w:tbl>
    <w:p>
      <w:pPr>
        <w:spacing w:after="0"/>
        <w:rPr>
          <w:sz w:val="16"/>
        </w:rPr>
      </w:pPr>
    </w:p>
    <w:tbl>
      <w:tblPr>
        <w:tblStyle w:val="Grilledutableau1"/>
        <w:tblW w:w="10490" w:type="dxa"/>
        <w:tblInd w:w="-147" w:type="dxa"/>
        <w:tblLook w:val="04A0" w:firstRow="1" w:lastRow="0" w:firstColumn="1" w:lastColumn="0" w:noHBand="0" w:noVBand="1"/>
      </w:tblPr>
      <w:tblGrid>
        <w:gridCol w:w="5245"/>
        <w:gridCol w:w="5245"/>
      </w:tblGrid>
      <w:tr>
        <w:tc>
          <w:tcPr>
            <w:tcW w:w="5245" w:type="dxa"/>
            <w:tcBorders>
              <w:top w:val="single" w:sz="12" w:space="0" w:color="auto"/>
              <w:left w:val="single" w:sz="12" w:space="0" w:color="auto"/>
              <w:bottom w:val="nil"/>
              <w:right w:val="nil"/>
            </w:tcBorders>
          </w:tcPr>
          <w:p>
            <w:pPr>
              <w:rPr>
                <w:rFonts w:asciiTheme="minorHAnsi" w:hAnsiTheme="minorHAnsi" w:cstheme="minorHAnsi"/>
                <w:b/>
                <w:sz w:val="24"/>
              </w:rPr>
            </w:pPr>
            <w:r>
              <w:rPr>
                <w:rFonts w:asciiTheme="minorHAnsi" w:hAnsiTheme="minorHAnsi" w:cstheme="minorHAnsi"/>
                <w:b/>
                <w:sz w:val="24"/>
              </w:rPr>
              <w:t>Certifié sincère et exact,</w:t>
            </w:r>
          </w:p>
        </w:tc>
        <w:tc>
          <w:tcPr>
            <w:tcW w:w="5245" w:type="dxa"/>
            <w:tcBorders>
              <w:top w:val="single" w:sz="12" w:space="0" w:color="auto"/>
              <w:left w:val="nil"/>
              <w:bottom w:val="nil"/>
              <w:right w:val="single" w:sz="12" w:space="0" w:color="auto"/>
            </w:tcBorders>
          </w:tcPr>
          <w:p>
            <w:pPr>
              <w:rPr>
                <w:rFonts w:asciiTheme="minorHAnsi" w:hAnsiTheme="minorHAnsi" w:cstheme="minorHAnsi"/>
                <w:sz w:val="24"/>
              </w:rPr>
            </w:pPr>
          </w:p>
        </w:tc>
      </w:tr>
      <w:tr>
        <w:trPr>
          <w:trHeight w:val="3556"/>
        </w:trPr>
        <w:tc>
          <w:tcPr>
            <w:tcW w:w="5245" w:type="dxa"/>
            <w:tcBorders>
              <w:top w:val="nil"/>
              <w:left w:val="single" w:sz="12" w:space="0" w:color="auto"/>
              <w:bottom w:val="single" w:sz="12" w:space="0" w:color="auto"/>
            </w:tcBorders>
          </w:tcPr>
          <w:p>
            <w:pPr>
              <w:rPr>
                <w:rFonts w:asciiTheme="minorHAnsi" w:hAnsiTheme="minorHAnsi" w:cstheme="minorHAnsi"/>
                <w:b/>
                <w:sz w:val="24"/>
              </w:rPr>
            </w:pPr>
            <w:r>
              <w:rPr>
                <w:rFonts w:asciiTheme="minorHAnsi" w:hAnsiTheme="minorHAnsi" w:cstheme="minorHAnsi"/>
                <w:b/>
                <w:sz w:val="24"/>
              </w:rPr>
              <w:t>Les directions des écoles partenaires :</w:t>
            </w:r>
          </w:p>
          <w:p>
            <w:pPr>
              <w:rPr>
                <w:rFonts w:asciiTheme="minorHAnsi" w:hAnsiTheme="minorHAnsi" w:cstheme="minorHAnsi"/>
                <w:sz w:val="24"/>
              </w:rPr>
            </w:pPr>
            <w:r>
              <w:rPr>
                <w:rFonts w:asciiTheme="minorHAnsi" w:hAnsiTheme="minorHAnsi" w:cstheme="minorHAnsi"/>
                <w:sz w:val="24"/>
              </w:rPr>
              <w:t>(Noms et prénoms, dates et signatures)</w:t>
            </w:r>
          </w:p>
          <w:p>
            <w:pPr>
              <w:rPr>
                <w:rFonts w:asciiTheme="minorHAnsi" w:hAnsiTheme="minorHAnsi" w:cstheme="minorHAnsi"/>
                <w:sz w:val="24"/>
              </w:rPr>
            </w:pPr>
          </w:p>
        </w:tc>
        <w:tc>
          <w:tcPr>
            <w:tcW w:w="5245" w:type="dxa"/>
            <w:tcBorders>
              <w:top w:val="nil"/>
              <w:bottom w:val="single" w:sz="12" w:space="0" w:color="auto"/>
              <w:right w:val="single" w:sz="12" w:space="0" w:color="auto"/>
            </w:tcBorders>
          </w:tcPr>
          <w:p>
            <w:pPr>
              <w:rPr>
                <w:rFonts w:asciiTheme="minorHAnsi" w:hAnsiTheme="minorHAnsi" w:cstheme="minorHAnsi"/>
                <w:b/>
                <w:sz w:val="24"/>
              </w:rPr>
            </w:pPr>
            <w:r>
              <w:rPr>
                <w:rFonts w:asciiTheme="minorHAnsi" w:hAnsiTheme="minorHAnsi" w:cstheme="minorHAnsi"/>
                <w:b/>
                <w:sz w:val="24"/>
              </w:rPr>
              <w:t>Les P.O. (OS – LS) / Chefs d’Établissement (FWB) :</w:t>
            </w:r>
          </w:p>
          <w:p>
            <w:pPr>
              <w:rPr>
                <w:rFonts w:asciiTheme="minorHAnsi" w:hAnsiTheme="minorHAnsi" w:cstheme="minorHAnsi"/>
                <w:sz w:val="24"/>
              </w:rPr>
            </w:pPr>
            <w:r>
              <w:rPr>
                <w:rFonts w:asciiTheme="minorHAnsi" w:hAnsiTheme="minorHAnsi" w:cstheme="minorHAnsi"/>
                <w:sz w:val="24"/>
              </w:rPr>
              <w:t>(Noms et prénoms, dates et signatures)</w:t>
            </w:r>
          </w:p>
        </w:tc>
      </w:tr>
    </w:tbl>
    <w:p>
      <w:pPr>
        <w:keepNext/>
        <w:spacing w:before="120" w:after="60" w:line="240" w:lineRule="auto"/>
        <w:jc w:val="center"/>
        <w:outlineLvl w:val="2"/>
        <w:rPr>
          <w:rFonts w:ascii="Verdana" w:eastAsia="Times New Roman" w:hAnsi="Verdana" w:cs="Arial"/>
          <w:b/>
          <w:bCs/>
          <w:iCs/>
          <w:sz w:val="20"/>
          <w:szCs w:val="20"/>
          <w:lang w:val="fr-FR" w:eastAsia="fr-FR"/>
        </w:rPr>
        <w:sectPr>
          <w:footerReference w:type="default" r:id="rId12"/>
          <w:footnotePr>
            <w:numRestart w:val="eachSect"/>
          </w:footnotePr>
          <w:pgSz w:w="11906" w:h="16838"/>
          <w:pgMar w:top="709" w:right="849" w:bottom="568" w:left="851" w:header="283" w:footer="283" w:gutter="0"/>
          <w:pgNumType w:start="1"/>
          <w:cols w:space="708"/>
          <w:docGrid w:linePitch="360"/>
        </w:sectPr>
      </w:pPr>
      <w:r>
        <w:rPr>
          <w:rFonts w:ascii="Verdana" w:eastAsia="Times New Roman" w:hAnsi="Verdana" w:cs="Arial"/>
          <w:b/>
          <w:bCs/>
          <w:iCs/>
          <w:sz w:val="20"/>
          <w:szCs w:val="20"/>
          <w:lang w:val="fr-FR" w:eastAsia="fr-FR"/>
        </w:rPr>
        <w:t>Joindre obligatoirement une copie de la convention instituant le partenariat.</w:t>
      </w:r>
    </w:p>
    <w:p>
      <w:pPr>
        <w:pBdr>
          <w:top w:val="single" w:sz="12" w:space="1" w:color="auto"/>
          <w:left w:val="single" w:sz="12" w:space="4" w:color="auto"/>
          <w:bottom w:val="single" w:sz="12" w:space="1" w:color="auto"/>
          <w:right w:val="single" w:sz="12" w:space="4" w:color="auto"/>
        </w:pBdr>
        <w:spacing w:after="0"/>
        <w:ind w:left="1418" w:hanging="1418"/>
        <w:rPr>
          <w:rFonts w:asciiTheme="minorHAnsi" w:hAnsiTheme="minorHAnsi" w:cstheme="minorHAnsi"/>
          <w:b/>
          <w:sz w:val="28"/>
        </w:rPr>
      </w:pPr>
      <w:r>
        <w:rPr>
          <w:rFonts w:asciiTheme="minorHAnsi" w:hAnsiTheme="minorHAnsi" w:cstheme="minorHAnsi"/>
          <w:b/>
          <w:sz w:val="28"/>
        </w:rPr>
        <w:lastRenderedPageBreak/>
        <w:t>Annexe 2 –  Demande de transformation de la totalité des moyens alloués pour l’aide spécifique aux directions en capital-périodes</w:t>
      </w:r>
    </w:p>
    <w:p>
      <w:pPr>
        <w:pBdr>
          <w:top w:val="single" w:sz="12" w:space="1" w:color="auto"/>
          <w:left w:val="single" w:sz="12" w:space="4" w:color="auto"/>
          <w:bottom w:val="single" w:sz="12" w:space="1" w:color="auto"/>
          <w:right w:val="single" w:sz="12" w:space="4" w:color="auto"/>
        </w:pBdr>
        <w:spacing w:after="0"/>
        <w:jc w:val="right"/>
        <w:rPr>
          <w:rFonts w:asciiTheme="minorHAnsi" w:hAnsiTheme="minorHAnsi" w:cstheme="minorHAnsi"/>
          <w:b/>
          <w:sz w:val="28"/>
        </w:rPr>
      </w:pPr>
      <w:r>
        <w:rPr>
          <w:rFonts w:asciiTheme="minorHAnsi" w:hAnsiTheme="minorHAnsi" w:cstheme="minorHAnsi"/>
          <w:b/>
          <w:sz w:val="28"/>
        </w:rPr>
        <w:t>Année scolaire 20……. – 20……</w:t>
      </w:r>
    </w:p>
    <w:p>
      <w:pPr>
        <w:spacing w:before="120" w:after="120"/>
        <w:jc w:val="center"/>
        <w:rPr>
          <w:rFonts w:asciiTheme="minorHAnsi" w:hAnsiTheme="minorHAnsi" w:cstheme="minorHAnsi"/>
          <w:i/>
          <w:sz w:val="24"/>
        </w:rPr>
      </w:pPr>
      <w:r>
        <w:rPr>
          <w:rFonts w:asciiTheme="minorHAnsi" w:hAnsiTheme="minorHAnsi" w:cstheme="minorHAnsi"/>
          <w:i/>
          <w:sz w:val="24"/>
        </w:rPr>
        <w:t>Formulaire à compléter par le Pouvoir organisateur, pour l’enseignement subventionné, et par le chef d’établissement, pour l’enseignement organisé, de l’école qui fait l’objet de la demande</w:t>
      </w:r>
    </w:p>
    <w:p>
      <w:pPr>
        <w:spacing w:before="120" w:after="120"/>
        <w:jc w:val="center"/>
        <w:rPr>
          <w:rFonts w:asciiTheme="minorHAnsi" w:hAnsiTheme="minorHAnsi" w:cstheme="minorHAnsi"/>
          <w:i/>
          <w:sz w:val="24"/>
        </w:rPr>
      </w:pPr>
      <w:r>
        <w:rPr>
          <w:rFonts w:asciiTheme="minorHAnsi" w:hAnsiTheme="minorHAnsi" w:cstheme="minorHAnsi"/>
          <w:i/>
          <w:sz w:val="24"/>
        </w:rPr>
        <w:t>1 exemplaire par école demandeuse</w:t>
      </w:r>
    </w:p>
    <w:p>
      <w:pPr>
        <w:spacing w:before="120" w:after="120"/>
        <w:jc w:val="center"/>
        <w:rPr>
          <w:b/>
          <w:i/>
          <w:sz w:val="24"/>
        </w:rPr>
      </w:pPr>
      <w:r>
        <w:rPr>
          <w:b/>
          <w:i/>
          <w:sz w:val="24"/>
        </w:rPr>
        <w:t xml:space="preserve">À renvoyer à l’adresse suivante </w:t>
      </w:r>
      <w:r>
        <w:rPr>
          <w:b/>
          <w:i/>
          <w:sz w:val="24"/>
          <w:u w:val="single"/>
        </w:rPr>
        <w:t>avant le 30 juin</w:t>
      </w:r>
      <w:r>
        <w:rPr>
          <w:b/>
          <w:i/>
          <w:sz w:val="24"/>
        </w:rPr>
        <w:t xml:space="preserve"> de l’année scolaire</w:t>
      </w:r>
      <w:r>
        <w:rPr>
          <w:b/>
          <w:i/>
          <w:sz w:val="24"/>
        </w:rPr>
        <w:br/>
        <w:t xml:space="preserve"> précédant l’attribution de l’aide spécifique :</w:t>
      </w:r>
    </w:p>
    <w:p>
      <w:pPr>
        <w:spacing w:after="0"/>
        <w:jc w:val="center"/>
        <w:rPr>
          <w:i/>
          <w:sz w:val="24"/>
        </w:rPr>
      </w:pPr>
      <w:r>
        <w:rPr>
          <w:i/>
          <w:sz w:val="24"/>
        </w:rPr>
        <w:t>Direction générale de l'Enseignement obligatoire</w:t>
      </w:r>
    </w:p>
    <w:p>
      <w:pPr>
        <w:spacing w:after="0"/>
        <w:jc w:val="center"/>
        <w:rPr>
          <w:i/>
          <w:sz w:val="24"/>
        </w:rPr>
      </w:pPr>
      <w:r>
        <w:rPr>
          <w:i/>
          <w:sz w:val="24"/>
        </w:rPr>
        <w:t>Bureau 2.F.211</w:t>
      </w:r>
    </w:p>
    <w:p>
      <w:pPr>
        <w:spacing w:after="0"/>
        <w:jc w:val="center"/>
        <w:rPr>
          <w:i/>
          <w:sz w:val="24"/>
        </w:rPr>
      </w:pPr>
      <w:r>
        <w:rPr>
          <w:i/>
          <w:sz w:val="24"/>
        </w:rPr>
        <w:t xml:space="preserve">Rue Adolphe </w:t>
      </w:r>
      <w:proofErr w:type="spellStart"/>
      <w:r>
        <w:rPr>
          <w:i/>
          <w:sz w:val="24"/>
        </w:rPr>
        <w:t>Lavallée</w:t>
      </w:r>
      <w:proofErr w:type="spellEnd"/>
      <w:r>
        <w:rPr>
          <w:i/>
          <w:sz w:val="24"/>
        </w:rPr>
        <w:t>, 1</w:t>
      </w:r>
    </w:p>
    <w:p>
      <w:pPr>
        <w:spacing w:after="120"/>
        <w:jc w:val="center"/>
        <w:rPr>
          <w:i/>
          <w:sz w:val="24"/>
        </w:rPr>
      </w:pPr>
      <w:r>
        <w:rPr>
          <w:i/>
          <w:sz w:val="24"/>
        </w:rPr>
        <w:t>1080 BRUXELLES</w:t>
      </w:r>
    </w:p>
    <w:tbl>
      <w:tblPr>
        <w:tblStyle w:val="Grilledutableau2"/>
        <w:tblW w:w="0" w:type="auto"/>
        <w:tblLook w:val="04A0" w:firstRow="1" w:lastRow="0" w:firstColumn="1" w:lastColumn="0" w:noHBand="0" w:noVBand="1"/>
      </w:tblPr>
      <w:tblGrid>
        <w:gridCol w:w="10176"/>
      </w:tblGrid>
      <w:tr>
        <w:tc>
          <w:tcPr>
            <w:tcW w:w="10196" w:type="dxa"/>
            <w:tcBorders>
              <w:top w:val="single" w:sz="12" w:space="0" w:color="auto"/>
              <w:left w:val="single" w:sz="12" w:space="0" w:color="auto"/>
              <w:bottom w:val="single" w:sz="12" w:space="0" w:color="auto"/>
              <w:right w:val="single" w:sz="12" w:space="0" w:color="auto"/>
            </w:tcBorders>
          </w:tcPr>
          <w:p>
            <w:pPr>
              <w:spacing w:before="120" w:after="120"/>
              <w:rPr>
                <w:rFonts w:asciiTheme="minorHAnsi" w:hAnsiTheme="minorHAnsi" w:cstheme="minorHAnsi"/>
                <w:b/>
                <w:sz w:val="24"/>
              </w:rPr>
            </w:pPr>
            <w:r>
              <w:rPr>
                <w:rFonts w:asciiTheme="minorHAnsi" w:hAnsiTheme="minorHAnsi" w:cstheme="minorHAnsi"/>
                <w:b/>
                <w:sz w:val="24"/>
              </w:rPr>
              <w:t>Identification de l’école demandeuse</w:t>
            </w:r>
          </w:p>
        </w:tc>
      </w:tr>
      <w:tr>
        <w:tc>
          <w:tcPr>
            <w:tcW w:w="10196" w:type="dxa"/>
            <w:tcBorders>
              <w:top w:val="single" w:sz="12" w:space="0" w:color="auto"/>
              <w:left w:val="single" w:sz="12" w:space="0" w:color="auto"/>
              <w:bottom w:val="single" w:sz="12" w:space="0" w:color="auto"/>
              <w:right w:val="single" w:sz="12" w:space="0" w:color="auto"/>
            </w:tcBorders>
          </w:tcPr>
          <w:p>
            <w:pPr>
              <w:spacing w:before="120" w:after="120"/>
              <w:rPr>
                <w:rFonts w:asciiTheme="minorHAnsi" w:hAnsiTheme="minorHAnsi" w:cstheme="minorHAnsi"/>
                <w:sz w:val="24"/>
              </w:rPr>
            </w:pPr>
            <w:r>
              <w:rPr>
                <w:rFonts w:asciiTheme="minorHAnsi" w:hAnsiTheme="minorHAnsi" w:cstheme="minorHAnsi"/>
                <w:b/>
                <w:sz w:val="24"/>
              </w:rPr>
              <w:t>Type d’enseignement</w:t>
            </w:r>
            <w:r>
              <w:rPr>
                <w:rFonts w:asciiTheme="minorHAnsi" w:hAnsiTheme="minorHAnsi" w:cstheme="minorHAnsi"/>
                <w:sz w:val="24"/>
              </w:rPr>
              <w:t xml:space="preserve"> : ordinaire – spécialisé </w:t>
            </w:r>
            <w:r>
              <w:rPr>
                <w:rFonts w:asciiTheme="minorHAnsi" w:hAnsiTheme="minorHAnsi" w:cstheme="minorHAnsi"/>
                <w:sz w:val="24"/>
                <w:vertAlign w:val="superscript"/>
              </w:rPr>
              <w:footnoteReference w:id="8"/>
            </w:r>
          </w:p>
          <w:p>
            <w:pPr>
              <w:spacing w:before="120" w:after="120"/>
              <w:rPr>
                <w:rFonts w:asciiTheme="minorHAnsi" w:hAnsiTheme="minorHAnsi" w:cstheme="minorHAnsi"/>
                <w:sz w:val="24"/>
              </w:rPr>
            </w:pPr>
            <w:r>
              <w:rPr>
                <w:rFonts w:asciiTheme="minorHAnsi" w:hAnsiTheme="minorHAnsi" w:cstheme="minorHAnsi"/>
                <w:b/>
                <w:sz w:val="24"/>
              </w:rPr>
              <w:t>N° FASE de l’école</w:t>
            </w:r>
            <w:r>
              <w:rPr>
                <w:rFonts w:asciiTheme="minorHAnsi" w:hAnsiTheme="minorHAnsi" w:cstheme="minorHAnsi"/>
                <w:sz w:val="24"/>
              </w:rPr>
              <w:t> : …………………….</w:t>
            </w:r>
          </w:p>
          <w:p>
            <w:pPr>
              <w:spacing w:before="120" w:after="120"/>
              <w:rPr>
                <w:rFonts w:asciiTheme="minorHAnsi" w:hAnsiTheme="minorHAnsi" w:cstheme="minorHAnsi"/>
                <w:sz w:val="24"/>
              </w:rPr>
            </w:pPr>
            <w:r>
              <w:rPr>
                <w:rFonts w:asciiTheme="minorHAnsi" w:hAnsiTheme="minorHAnsi" w:cstheme="minorHAnsi"/>
                <w:b/>
                <w:sz w:val="24"/>
              </w:rPr>
              <w:t>Dénomination de l’école</w:t>
            </w:r>
            <w:r>
              <w:rPr>
                <w:rFonts w:asciiTheme="minorHAnsi" w:hAnsiTheme="minorHAnsi" w:cstheme="minorHAnsi"/>
                <w:sz w:val="24"/>
              </w:rPr>
              <w:t> : ……………………………………………………………………………………………………………………</w:t>
            </w:r>
          </w:p>
          <w:p>
            <w:pPr>
              <w:spacing w:before="120" w:after="120"/>
              <w:rPr>
                <w:rFonts w:asciiTheme="minorHAnsi" w:hAnsiTheme="minorHAnsi" w:cstheme="minorHAnsi"/>
                <w:sz w:val="24"/>
              </w:rPr>
            </w:pPr>
            <w:r>
              <w:rPr>
                <w:rFonts w:asciiTheme="minorHAnsi" w:hAnsiTheme="minorHAnsi" w:cstheme="minorHAnsi"/>
                <w:b/>
                <w:sz w:val="24"/>
              </w:rPr>
              <w:t>Adresse de l’école</w:t>
            </w:r>
            <w:r>
              <w:rPr>
                <w:rFonts w:asciiTheme="minorHAnsi" w:hAnsiTheme="minorHAnsi" w:cstheme="minorHAnsi"/>
                <w:sz w:val="24"/>
              </w:rPr>
              <w:t> : ………………………………………………………………………………………………………………………………</w:t>
            </w:r>
          </w:p>
          <w:p>
            <w:pPr>
              <w:spacing w:before="120" w:after="120"/>
              <w:rPr>
                <w:rFonts w:asciiTheme="minorHAnsi" w:hAnsiTheme="minorHAnsi" w:cstheme="minorHAnsi"/>
                <w:sz w:val="24"/>
              </w:rPr>
            </w:pPr>
            <w:r>
              <w:rPr>
                <w:rFonts w:asciiTheme="minorHAnsi" w:hAnsiTheme="minorHAnsi" w:cstheme="minorHAnsi"/>
                <w:b/>
                <w:sz w:val="24"/>
              </w:rPr>
              <w:t>N° FASE du P.O.</w:t>
            </w:r>
            <w:r>
              <w:rPr>
                <w:rFonts w:asciiTheme="minorHAnsi" w:hAnsiTheme="minorHAnsi" w:cstheme="minorHAnsi"/>
                <w:sz w:val="24"/>
              </w:rPr>
              <w:t xml:space="preserve"> : ………………….. </w:t>
            </w:r>
          </w:p>
          <w:p>
            <w:pPr>
              <w:spacing w:before="120" w:after="120"/>
              <w:rPr>
                <w:rFonts w:asciiTheme="minorHAnsi" w:hAnsiTheme="minorHAnsi" w:cstheme="minorHAnsi"/>
                <w:sz w:val="24"/>
              </w:rPr>
            </w:pPr>
            <w:r>
              <w:rPr>
                <w:rFonts w:asciiTheme="minorHAnsi" w:hAnsiTheme="minorHAnsi" w:cstheme="minorHAnsi"/>
                <w:b/>
                <w:sz w:val="24"/>
              </w:rPr>
              <w:t>Fonction du directeur/de la directrice de l’école</w:t>
            </w:r>
            <w:r>
              <w:rPr>
                <w:rStyle w:val="Appelnotedebasdep"/>
                <w:rFonts w:asciiTheme="minorHAnsi" w:hAnsiTheme="minorHAnsi" w:cstheme="minorHAnsi"/>
                <w:sz w:val="24"/>
              </w:rPr>
              <w:footnoteReference w:id="9"/>
            </w:r>
            <w:r>
              <w:rPr>
                <w:rFonts w:asciiTheme="minorHAnsi" w:hAnsiTheme="minorHAnsi" w:cstheme="minorHAnsi"/>
                <w:sz w:val="24"/>
              </w:rPr>
              <w:t> : …………….……………………………………………………………….</w:t>
            </w:r>
          </w:p>
          <w:p>
            <w:pPr>
              <w:spacing w:before="120" w:after="120"/>
              <w:rPr>
                <w:rFonts w:asciiTheme="minorHAnsi" w:hAnsiTheme="minorHAnsi" w:cstheme="minorHAnsi"/>
                <w:sz w:val="24"/>
              </w:rPr>
            </w:pPr>
            <w:r>
              <w:rPr>
                <w:rFonts w:asciiTheme="minorHAnsi" w:hAnsiTheme="minorHAnsi" w:cstheme="minorHAnsi"/>
                <w:b/>
                <w:sz w:val="24"/>
              </w:rPr>
              <w:t>Nombre total d’élèves régulièrement inscrits au sein de l’école au 15 janvier précédent</w:t>
            </w:r>
            <w:r>
              <w:rPr>
                <w:rFonts w:asciiTheme="minorHAnsi" w:hAnsiTheme="minorHAnsi" w:cstheme="minorHAnsi"/>
                <w:sz w:val="24"/>
              </w:rPr>
              <w:t xml:space="preserve">, avec application des coefficients préférentiels </w:t>
            </w:r>
            <w:r>
              <w:rPr>
                <w:rFonts w:asciiTheme="minorHAnsi" w:hAnsiTheme="minorHAnsi" w:cstheme="minorHAnsi"/>
                <w:sz w:val="24"/>
                <w:vertAlign w:val="superscript"/>
              </w:rPr>
              <w:footnoteReference w:id="10"/>
            </w:r>
            <w:r>
              <w:rPr>
                <w:rFonts w:asciiTheme="minorHAnsi" w:hAnsiTheme="minorHAnsi" w:cstheme="minorHAnsi"/>
                <w:sz w:val="24"/>
              </w:rPr>
              <w:t xml:space="preserve"> : …………………  </w:t>
            </w:r>
          </w:p>
        </w:tc>
      </w:tr>
    </w:tbl>
    <w:p>
      <w:pPr>
        <w:spacing w:after="0"/>
        <w:rPr>
          <w:rFonts w:asciiTheme="minorHAnsi" w:hAnsiTheme="minorHAnsi" w:cstheme="minorHAnsi"/>
          <w:sz w:val="24"/>
        </w:rPr>
      </w:pPr>
    </w:p>
    <w:tbl>
      <w:tblPr>
        <w:tblStyle w:val="Grilledutableau2"/>
        <w:tblW w:w="10206" w:type="dxa"/>
        <w:tblInd w:w="-15" w:type="dxa"/>
        <w:tblLook w:val="04A0" w:firstRow="1" w:lastRow="0" w:firstColumn="1" w:lastColumn="0" w:noHBand="0" w:noVBand="1"/>
      </w:tblPr>
      <w:tblGrid>
        <w:gridCol w:w="10206"/>
      </w:tblGrid>
      <w:tr>
        <w:tc>
          <w:tcPr>
            <w:tcW w:w="10206" w:type="dxa"/>
            <w:tcBorders>
              <w:top w:val="single" w:sz="12" w:space="0" w:color="auto"/>
              <w:left w:val="single" w:sz="12" w:space="0" w:color="auto"/>
              <w:bottom w:val="nil"/>
              <w:right w:val="single" w:sz="12" w:space="0" w:color="auto"/>
            </w:tcBorders>
          </w:tcPr>
          <w:p>
            <w:pPr>
              <w:rPr>
                <w:rFonts w:asciiTheme="minorHAnsi" w:hAnsiTheme="minorHAnsi" w:cstheme="minorHAnsi"/>
                <w:b/>
                <w:sz w:val="24"/>
              </w:rPr>
            </w:pPr>
            <w:r>
              <w:rPr>
                <w:rFonts w:asciiTheme="minorHAnsi" w:hAnsiTheme="minorHAnsi" w:cstheme="minorHAnsi"/>
                <w:b/>
                <w:sz w:val="24"/>
              </w:rPr>
              <w:t>Certifié sincère et exact,</w:t>
            </w:r>
          </w:p>
          <w:p>
            <w:pPr>
              <w:rPr>
                <w:rFonts w:asciiTheme="minorHAnsi" w:hAnsiTheme="minorHAnsi" w:cstheme="minorHAnsi"/>
                <w:sz w:val="24"/>
              </w:rPr>
            </w:pPr>
            <w:r>
              <w:rPr>
                <w:rFonts w:asciiTheme="minorHAnsi" w:hAnsiTheme="minorHAnsi" w:cstheme="minorHAnsi"/>
                <w:b/>
                <w:sz w:val="24"/>
              </w:rPr>
              <w:t>Le Directeur / La Directrice de l’établissement scolaire demandeur :</w:t>
            </w:r>
          </w:p>
        </w:tc>
      </w:tr>
      <w:tr>
        <w:trPr>
          <w:trHeight w:val="3967"/>
        </w:trPr>
        <w:tc>
          <w:tcPr>
            <w:tcW w:w="10206" w:type="dxa"/>
            <w:tcBorders>
              <w:top w:val="nil"/>
              <w:left w:val="single" w:sz="12" w:space="0" w:color="auto"/>
              <w:bottom w:val="single" w:sz="12" w:space="0" w:color="auto"/>
              <w:right w:val="single" w:sz="12" w:space="0" w:color="auto"/>
            </w:tcBorders>
          </w:tcPr>
          <w:p>
            <w:pPr>
              <w:rPr>
                <w:rFonts w:asciiTheme="minorHAnsi" w:hAnsiTheme="minorHAnsi" w:cstheme="minorHAnsi"/>
                <w:sz w:val="24"/>
              </w:rPr>
            </w:pPr>
            <w:r>
              <w:rPr>
                <w:rFonts w:asciiTheme="minorHAnsi" w:hAnsiTheme="minorHAnsi" w:cstheme="minorHAnsi"/>
                <w:sz w:val="24"/>
              </w:rPr>
              <w:t>(Nom et prénom, date et signature)</w:t>
            </w:r>
          </w:p>
          <w:p>
            <w:pPr>
              <w:rPr>
                <w:rFonts w:asciiTheme="minorHAnsi" w:hAnsiTheme="minorHAnsi" w:cstheme="minorHAnsi"/>
                <w:sz w:val="24"/>
              </w:rPr>
            </w:pPr>
          </w:p>
          <w:p>
            <w:pPr>
              <w:rPr>
                <w:rFonts w:asciiTheme="minorHAnsi" w:hAnsiTheme="minorHAnsi" w:cstheme="minorHAnsi"/>
                <w:sz w:val="24"/>
              </w:rPr>
            </w:pPr>
          </w:p>
          <w:p>
            <w:pPr>
              <w:rPr>
                <w:rFonts w:asciiTheme="minorHAnsi" w:hAnsiTheme="minorHAnsi" w:cstheme="minorHAnsi"/>
                <w:sz w:val="24"/>
              </w:rPr>
            </w:pPr>
          </w:p>
          <w:p>
            <w:pPr>
              <w:rPr>
                <w:rFonts w:asciiTheme="minorHAnsi" w:hAnsiTheme="minorHAnsi" w:cstheme="minorHAnsi"/>
                <w:sz w:val="24"/>
              </w:rPr>
            </w:pPr>
          </w:p>
          <w:p>
            <w:pPr>
              <w:rPr>
                <w:rFonts w:asciiTheme="minorHAnsi" w:hAnsiTheme="minorHAnsi" w:cstheme="minorHAnsi"/>
                <w:sz w:val="24"/>
              </w:rPr>
            </w:pPr>
          </w:p>
          <w:p>
            <w:pPr>
              <w:rPr>
                <w:rFonts w:asciiTheme="minorHAnsi" w:hAnsiTheme="minorHAnsi" w:cstheme="minorHAnsi"/>
                <w:b/>
                <w:sz w:val="24"/>
              </w:rPr>
            </w:pPr>
            <w:r>
              <w:rPr>
                <w:rFonts w:asciiTheme="minorHAnsi" w:hAnsiTheme="minorHAnsi" w:cstheme="minorHAnsi"/>
                <w:b/>
                <w:sz w:val="24"/>
              </w:rPr>
              <w:t xml:space="preserve">Le Pouvoir organisateur (OS – LS) / Le Chef d’Établissement (FWB) </w:t>
            </w:r>
            <w:r>
              <w:rPr>
                <w:rFonts w:asciiTheme="minorHAnsi" w:hAnsiTheme="minorHAnsi" w:cstheme="minorHAnsi"/>
                <w:b/>
                <w:sz w:val="24"/>
                <w:vertAlign w:val="superscript"/>
              </w:rPr>
              <w:footnoteReference w:id="11"/>
            </w:r>
            <w:r>
              <w:rPr>
                <w:rFonts w:asciiTheme="minorHAnsi" w:hAnsiTheme="minorHAnsi" w:cstheme="minorHAnsi"/>
                <w:b/>
                <w:sz w:val="24"/>
              </w:rPr>
              <w:t> :</w:t>
            </w:r>
          </w:p>
          <w:p>
            <w:pPr>
              <w:rPr>
                <w:rFonts w:asciiTheme="minorHAnsi" w:hAnsiTheme="minorHAnsi" w:cstheme="minorHAnsi"/>
                <w:sz w:val="24"/>
              </w:rPr>
            </w:pPr>
            <w:r>
              <w:rPr>
                <w:rFonts w:asciiTheme="minorHAnsi" w:hAnsiTheme="minorHAnsi" w:cstheme="minorHAnsi"/>
                <w:sz w:val="24"/>
              </w:rPr>
              <w:t>(Nom et prénom, date et signature)</w:t>
            </w:r>
          </w:p>
          <w:p>
            <w:pPr>
              <w:rPr>
                <w:rFonts w:asciiTheme="minorHAnsi" w:hAnsiTheme="minorHAnsi" w:cstheme="minorHAnsi"/>
                <w:sz w:val="24"/>
              </w:rPr>
            </w:pPr>
          </w:p>
        </w:tc>
      </w:tr>
    </w:tbl>
    <w:p>
      <w:pPr>
        <w:spacing w:after="0"/>
        <w:rPr>
          <w:rFonts w:asciiTheme="minorHAnsi" w:hAnsiTheme="minorHAnsi" w:cstheme="minorHAnsi"/>
          <w:sz w:val="24"/>
        </w:rPr>
      </w:pPr>
    </w:p>
    <w:p>
      <w:pPr>
        <w:spacing w:after="120"/>
        <w:sectPr>
          <w:footerReference w:type="default" r:id="rId13"/>
          <w:footnotePr>
            <w:numRestart w:val="eachSect"/>
          </w:footnotePr>
          <w:pgSz w:w="11906" w:h="16838"/>
          <w:pgMar w:top="709" w:right="849" w:bottom="568" w:left="851" w:header="283" w:footer="283" w:gutter="0"/>
          <w:pgNumType w:start="1"/>
          <w:cols w:space="708"/>
          <w:docGrid w:linePitch="360"/>
        </w:sectPr>
      </w:pPr>
    </w:p>
    <w:p>
      <w:pPr>
        <w:keepNext/>
        <w:pBdr>
          <w:top w:val="single" w:sz="12" w:space="0" w:color="auto"/>
          <w:left w:val="single" w:sz="12" w:space="4" w:color="auto"/>
          <w:bottom w:val="single" w:sz="12" w:space="4" w:color="auto"/>
          <w:right w:val="single" w:sz="12" w:space="4" w:color="auto"/>
        </w:pBdr>
        <w:spacing w:after="60" w:line="240" w:lineRule="auto"/>
        <w:ind w:right="142" w:firstLine="284"/>
        <w:outlineLvl w:val="3"/>
        <w:rPr>
          <w:rFonts w:asciiTheme="minorHAnsi" w:eastAsia="Times New Roman" w:hAnsiTheme="minorHAnsi" w:cstheme="minorHAnsi"/>
          <w:b/>
          <w:bCs/>
          <w:sz w:val="28"/>
          <w:lang w:val="fr-FR" w:eastAsia="fr-FR"/>
        </w:rPr>
      </w:pPr>
      <w:r>
        <w:rPr>
          <w:rFonts w:asciiTheme="minorHAnsi" w:eastAsia="Times New Roman" w:hAnsiTheme="minorHAnsi" w:cstheme="minorHAnsi"/>
          <w:b/>
          <w:bCs/>
          <w:sz w:val="28"/>
          <w:lang w:val="fr-FR" w:eastAsia="fr-FR"/>
        </w:rPr>
        <w:lastRenderedPageBreak/>
        <w:t>Annexe 3 – Création ou reconduction d'un Centre de gestion</w:t>
      </w:r>
    </w:p>
    <w:p>
      <w:pPr>
        <w:keepNext/>
        <w:pBdr>
          <w:top w:val="single" w:sz="12" w:space="0" w:color="auto"/>
          <w:left w:val="single" w:sz="12" w:space="4" w:color="auto"/>
          <w:bottom w:val="single" w:sz="12" w:space="4" w:color="auto"/>
          <w:right w:val="single" w:sz="12" w:space="4" w:color="auto"/>
        </w:pBdr>
        <w:spacing w:after="120" w:line="240" w:lineRule="auto"/>
        <w:ind w:right="142" w:firstLine="284"/>
        <w:outlineLvl w:val="3"/>
        <w:rPr>
          <w:rFonts w:asciiTheme="minorHAnsi" w:eastAsia="Times New Roman" w:hAnsiTheme="minorHAnsi" w:cstheme="minorHAnsi"/>
          <w:b/>
          <w:bCs/>
          <w:sz w:val="28"/>
          <w:lang w:val="fr-FR" w:eastAsia="fr-FR"/>
        </w:rPr>
      </w:pPr>
      <w:r>
        <w:rPr>
          <w:rFonts w:asciiTheme="minorHAnsi" w:eastAsia="Times New Roman" w:hAnsiTheme="minorHAnsi" w:cstheme="minorHAnsi"/>
          <w:b/>
          <w:bCs/>
          <w:sz w:val="28"/>
          <w:lang w:val="fr-FR" w:eastAsia="fr-FR"/>
        </w:rPr>
        <w:t>Enseignement subventionné </w:t>
      </w:r>
      <w:r>
        <w:rPr>
          <w:rFonts w:asciiTheme="minorHAnsi" w:eastAsia="Times New Roman" w:hAnsiTheme="minorHAnsi" w:cstheme="minorHAnsi"/>
          <w:b/>
          <w:bCs/>
          <w:sz w:val="28"/>
          <w:lang w:val="fr-FR" w:eastAsia="fr-FR"/>
        </w:rPr>
        <w:tab/>
      </w:r>
      <w:r>
        <w:rPr>
          <w:rFonts w:asciiTheme="minorHAnsi" w:eastAsia="Times New Roman" w:hAnsiTheme="minorHAnsi" w:cstheme="minorHAnsi"/>
          <w:b/>
          <w:bCs/>
          <w:sz w:val="28"/>
          <w:lang w:val="fr-FR" w:eastAsia="fr-FR"/>
        </w:rPr>
        <w:tab/>
      </w:r>
      <w:r>
        <w:rPr>
          <w:rFonts w:asciiTheme="minorHAnsi" w:eastAsia="Times New Roman" w:hAnsiTheme="minorHAnsi" w:cstheme="minorHAnsi"/>
          <w:b/>
          <w:bCs/>
          <w:sz w:val="28"/>
          <w:lang w:val="fr-FR" w:eastAsia="fr-FR"/>
        </w:rPr>
        <w:tab/>
      </w:r>
      <w:r>
        <w:rPr>
          <w:rFonts w:asciiTheme="minorHAnsi" w:eastAsia="Times New Roman" w:hAnsiTheme="minorHAnsi" w:cstheme="minorHAnsi"/>
          <w:b/>
          <w:bCs/>
          <w:sz w:val="28"/>
          <w:lang w:val="fr-FR" w:eastAsia="fr-FR"/>
        </w:rPr>
        <w:tab/>
        <w:t>01/09/2019 au 31/08/2025</w:t>
      </w:r>
    </w:p>
    <w:p>
      <w:pPr>
        <w:spacing w:before="120" w:after="120" w:line="240" w:lineRule="auto"/>
        <w:ind w:right="567" w:firstLine="567"/>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 xml:space="preserve">Formulaire à compléter exclusivement par le </w:t>
      </w:r>
      <w:r>
        <w:rPr>
          <w:rFonts w:asciiTheme="minorHAnsi" w:eastAsia="Times New Roman" w:hAnsiTheme="minorHAnsi" w:cstheme="minorHAnsi"/>
          <w:b/>
          <w:i/>
          <w:iCs/>
          <w:sz w:val="24"/>
          <w:lang w:val="fr-FR" w:eastAsia="fr-FR"/>
        </w:rPr>
        <w:t>Pouvoir organisateur assurant la coordination</w:t>
      </w:r>
      <w:r>
        <w:rPr>
          <w:rFonts w:asciiTheme="minorHAnsi" w:eastAsia="Times New Roman" w:hAnsiTheme="minorHAnsi" w:cstheme="minorHAnsi"/>
          <w:i/>
          <w:iCs/>
          <w:sz w:val="24"/>
          <w:lang w:val="fr-FR" w:eastAsia="fr-FR"/>
        </w:rPr>
        <w:t xml:space="preserve"> du Centre de gestion </w:t>
      </w:r>
    </w:p>
    <w:p>
      <w:pPr>
        <w:spacing w:before="120" w:after="12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b/>
          <w:i/>
          <w:iCs/>
          <w:sz w:val="24"/>
          <w:lang w:val="fr-FR" w:eastAsia="fr-FR"/>
        </w:rPr>
        <w:t xml:space="preserve">À renvoyer à l'adresse suivante </w:t>
      </w:r>
      <w:r>
        <w:rPr>
          <w:rFonts w:asciiTheme="minorHAnsi" w:eastAsia="Times New Roman" w:hAnsiTheme="minorHAnsi" w:cstheme="minorHAnsi"/>
          <w:b/>
          <w:i/>
          <w:iCs/>
          <w:sz w:val="24"/>
          <w:u w:val="single"/>
          <w:lang w:val="fr-FR" w:eastAsia="fr-FR"/>
        </w:rPr>
        <w:t>avant le 30 juin 2019</w:t>
      </w:r>
      <w:r>
        <w:rPr>
          <w:rFonts w:asciiTheme="minorHAnsi" w:eastAsia="Times New Roman" w:hAnsiTheme="minorHAnsi" w:cstheme="minorHAnsi"/>
          <w:i/>
          <w:iCs/>
          <w:sz w:val="24"/>
          <w:lang w:val="fr-FR" w:eastAsia="fr-FR"/>
        </w:rPr>
        <w:t>:</w:t>
      </w:r>
    </w:p>
    <w:p>
      <w:pPr>
        <w:spacing w:after="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Direction générale de l'Enseignement obligatoire</w:t>
      </w:r>
    </w:p>
    <w:p>
      <w:pPr>
        <w:spacing w:after="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 xml:space="preserve"> Bureau </w:t>
      </w:r>
      <w:smartTag w:uri="urn:schemas-microsoft-com:office:smarttags" w:element="metricconverter">
        <w:smartTagPr>
          <w:attr w:name="ProductID" w:val="2.F"/>
        </w:smartTagPr>
        <w:r>
          <w:rPr>
            <w:rFonts w:asciiTheme="minorHAnsi" w:eastAsia="Times New Roman" w:hAnsiTheme="minorHAnsi" w:cstheme="minorHAnsi"/>
            <w:i/>
            <w:iCs/>
            <w:sz w:val="24"/>
            <w:lang w:val="fr-FR" w:eastAsia="fr-FR"/>
          </w:rPr>
          <w:t>2.F</w:t>
        </w:r>
      </w:smartTag>
      <w:r>
        <w:rPr>
          <w:rFonts w:asciiTheme="minorHAnsi" w:eastAsia="Times New Roman" w:hAnsiTheme="minorHAnsi" w:cstheme="minorHAnsi"/>
          <w:i/>
          <w:iCs/>
          <w:sz w:val="24"/>
          <w:lang w:val="fr-FR" w:eastAsia="fr-FR"/>
        </w:rPr>
        <w:t>.211</w:t>
      </w:r>
    </w:p>
    <w:p>
      <w:pPr>
        <w:spacing w:after="12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 xml:space="preserve">Rue Adolphe </w:t>
      </w:r>
      <w:proofErr w:type="spellStart"/>
      <w:r>
        <w:rPr>
          <w:rFonts w:asciiTheme="minorHAnsi" w:eastAsia="Times New Roman" w:hAnsiTheme="minorHAnsi" w:cstheme="minorHAnsi"/>
          <w:i/>
          <w:iCs/>
          <w:sz w:val="24"/>
          <w:lang w:val="fr-FR" w:eastAsia="fr-FR"/>
        </w:rPr>
        <w:t>Lavallée</w:t>
      </w:r>
      <w:proofErr w:type="spellEnd"/>
      <w:r>
        <w:rPr>
          <w:rFonts w:asciiTheme="minorHAnsi" w:eastAsia="Times New Roman" w:hAnsiTheme="minorHAnsi" w:cstheme="minorHAnsi"/>
          <w:i/>
          <w:iCs/>
          <w:sz w:val="24"/>
          <w:lang w:val="fr-FR" w:eastAsia="fr-FR"/>
        </w:rPr>
        <w:t>, 1 à 1080   BRUXELLES</w:t>
      </w:r>
    </w:p>
    <w:tbl>
      <w:tblPr>
        <w:tblStyle w:val="Grilledutableau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8"/>
        <w:gridCol w:w="2835"/>
        <w:gridCol w:w="5513"/>
      </w:tblGrid>
      <w:tr>
        <w:trPr>
          <w:trHeight w:val="283"/>
        </w:trPr>
        <w:tc>
          <w:tcPr>
            <w:tcW w:w="1828" w:type="dxa"/>
            <w:tcBorders>
              <w:bottom w:val="single" w:sz="4" w:space="0" w:color="auto"/>
              <w:right w:val="single" w:sz="4" w:space="0" w:color="auto"/>
            </w:tcBorders>
            <w:vAlign w:val="center"/>
          </w:tcPr>
          <w:p>
            <w:pPr>
              <w:rPr>
                <w:rFonts w:asciiTheme="minorHAnsi" w:eastAsia="Times New Roman" w:hAnsiTheme="minorHAnsi" w:cstheme="minorHAnsi"/>
                <w:sz w:val="24"/>
                <w:lang w:val="fr-FR" w:eastAsia="fr-FR"/>
              </w:rPr>
            </w:pPr>
            <w:r>
              <w:rPr>
                <w:rFonts w:asciiTheme="minorHAnsi" w:eastAsia="Times New Roman" w:hAnsiTheme="minorHAnsi" w:cstheme="minorHAnsi"/>
                <w:sz w:val="24"/>
                <w:lang w:val="fr-FR" w:eastAsia="fr-FR"/>
              </w:rPr>
              <w:t>N° FASE P.O.</w:t>
            </w:r>
          </w:p>
        </w:tc>
        <w:tc>
          <w:tcPr>
            <w:tcW w:w="8348" w:type="dxa"/>
            <w:gridSpan w:val="2"/>
            <w:tcBorders>
              <w:left w:val="single" w:sz="4" w:space="0" w:color="auto"/>
              <w:bottom w:val="single" w:sz="4" w:space="0" w:color="auto"/>
            </w:tcBorders>
            <w:vAlign w:val="center"/>
          </w:tcPr>
          <w:p>
            <w:pPr>
              <w:keepNext/>
              <w:outlineLvl w:val="1"/>
              <w:rPr>
                <w:rFonts w:asciiTheme="minorHAnsi" w:eastAsia="Times New Roman" w:hAnsiTheme="minorHAnsi" w:cstheme="minorHAnsi"/>
                <w:bCs/>
                <w:i/>
                <w:iCs/>
                <w:sz w:val="24"/>
                <w:lang w:val="fr-FR" w:eastAsia="fr-FR"/>
              </w:rPr>
            </w:pPr>
            <w:r>
              <w:rPr>
                <w:rFonts w:asciiTheme="minorHAnsi" w:eastAsia="Times New Roman" w:hAnsiTheme="minorHAnsi" w:cstheme="minorHAnsi"/>
                <w:sz w:val="24"/>
                <w:lang w:val="fr-FR" w:eastAsia="fr-FR"/>
              </w:rPr>
              <w:t>Dénomination du Pouvoir organisateur coordinateur</w:t>
            </w:r>
          </w:p>
        </w:tc>
      </w:tr>
      <w:tr>
        <w:trPr>
          <w:trHeight w:val="454"/>
        </w:trPr>
        <w:tc>
          <w:tcPr>
            <w:tcW w:w="1828" w:type="dxa"/>
            <w:tcBorders>
              <w:top w:val="single" w:sz="4" w:space="0" w:color="auto"/>
              <w:bottom w:val="single" w:sz="12" w:space="0" w:color="auto"/>
              <w:right w:val="single" w:sz="4" w:space="0" w:color="auto"/>
            </w:tcBorders>
            <w:vAlign w:val="center"/>
          </w:tcPr>
          <w:p>
            <w:pPr>
              <w:rPr>
                <w:rFonts w:asciiTheme="minorHAnsi" w:eastAsia="Times New Roman" w:hAnsiTheme="minorHAnsi" w:cstheme="minorHAnsi"/>
                <w:b/>
                <w:sz w:val="24"/>
                <w:lang w:val="fr-FR" w:eastAsia="fr-FR"/>
              </w:rPr>
            </w:pPr>
          </w:p>
        </w:tc>
        <w:tc>
          <w:tcPr>
            <w:tcW w:w="8348" w:type="dxa"/>
            <w:gridSpan w:val="2"/>
            <w:tcBorders>
              <w:top w:val="single" w:sz="4" w:space="0" w:color="auto"/>
              <w:left w:val="single" w:sz="4" w:space="0" w:color="auto"/>
              <w:bottom w:val="single" w:sz="12" w:space="0" w:color="auto"/>
            </w:tcBorders>
            <w:vAlign w:val="center"/>
          </w:tcPr>
          <w:p>
            <w:pPr>
              <w:rPr>
                <w:rFonts w:asciiTheme="minorHAnsi" w:eastAsia="Times New Roman" w:hAnsiTheme="minorHAnsi" w:cstheme="minorHAnsi"/>
                <w:b/>
                <w:sz w:val="24"/>
                <w:lang w:val="fr-FR" w:eastAsia="fr-FR"/>
              </w:rPr>
            </w:pPr>
          </w:p>
        </w:tc>
      </w:tr>
      <w:tr>
        <w:trPr>
          <w:trHeight w:val="283"/>
        </w:trPr>
        <w:tc>
          <w:tcPr>
            <w:tcW w:w="4663" w:type="dxa"/>
            <w:gridSpan w:val="2"/>
            <w:tcBorders>
              <w:top w:val="single" w:sz="12" w:space="0" w:color="auto"/>
              <w:bottom w:val="single" w:sz="4" w:space="0" w:color="auto"/>
              <w:right w:val="single" w:sz="4" w:space="0" w:color="auto"/>
            </w:tcBorders>
            <w:vAlign w:val="center"/>
          </w:tcPr>
          <w:p>
            <w:pPr>
              <w:rPr>
                <w:rFonts w:asciiTheme="minorHAnsi" w:eastAsia="Times New Roman" w:hAnsiTheme="minorHAnsi" w:cstheme="minorHAnsi"/>
                <w:sz w:val="24"/>
                <w:lang w:val="fr-FR" w:eastAsia="fr-FR"/>
              </w:rPr>
            </w:pPr>
            <w:r>
              <w:rPr>
                <w:rFonts w:asciiTheme="minorHAnsi" w:eastAsia="Times New Roman" w:hAnsiTheme="minorHAnsi" w:cstheme="minorHAnsi"/>
                <w:sz w:val="24"/>
                <w:lang w:val="fr-FR" w:eastAsia="fr-FR"/>
              </w:rPr>
              <w:t>N° de compte bancaire du centre de gestion*</w:t>
            </w:r>
          </w:p>
        </w:tc>
        <w:tc>
          <w:tcPr>
            <w:tcW w:w="5513" w:type="dxa"/>
            <w:tcBorders>
              <w:top w:val="single" w:sz="12" w:space="0" w:color="auto"/>
              <w:left w:val="single" w:sz="4" w:space="0" w:color="auto"/>
              <w:bottom w:val="single" w:sz="4" w:space="0" w:color="auto"/>
            </w:tcBorders>
            <w:vAlign w:val="center"/>
          </w:tcPr>
          <w:p>
            <w:pPr>
              <w:rPr>
                <w:rFonts w:asciiTheme="minorHAnsi" w:eastAsia="Times New Roman" w:hAnsiTheme="minorHAnsi" w:cstheme="minorHAnsi"/>
                <w:sz w:val="24"/>
                <w:lang w:val="fr-FR" w:eastAsia="fr-FR"/>
              </w:rPr>
            </w:pPr>
            <w:r>
              <w:rPr>
                <w:rFonts w:asciiTheme="minorHAnsi" w:eastAsia="Times New Roman" w:hAnsiTheme="minorHAnsi" w:cstheme="minorHAnsi"/>
                <w:sz w:val="24"/>
                <w:lang w:val="fr-FR" w:eastAsia="fr-FR"/>
              </w:rPr>
              <w:t>Intitulé du compte bancaire*</w:t>
            </w:r>
          </w:p>
        </w:tc>
      </w:tr>
      <w:tr>
        <w:trPr>
          <w:trHeight w:val="454"/>
        </w:trPr>
        <w:tc>
          <w:tcPr>
            <w:tcW w:w="4663" w:type="dxa"/>
            <w:gridSpan w:val="2"/>
            <w:tcBorders>
              <w:top w:val="single" w:sz="4" w:space="0" w:color="auto"/>
              <w:right w:val="single" w:sz="4" w:space="0" w:color="auto"/>
            </w:tcBorders>
            <w:vAlign w:val="center"/>
          </w:tcPr>
          <w:p>
            <w:pPr>
              <w:rPr>
                <w:rFonts w:asciiTheme="minorHAnsi" w:eastAsia="Times New Roman" w:hAnsiTheme="minorHAnsi" w:cstheme="minorHAnsi"/>
                <w:b/>
                <w:sz w:val="24"/>
                <w:lang w:val="fr-FR" w:eastAsia="fr-FR"/>
              </w:rPr>
            </w:pPr>
          </w:p>
        </w:tc>
        <w:tc>
          <w:tcPr>
            <w:tcW w:w="5513" w:type="dxa"/>
            <w:tcBorders>
              <w:top w:val="single" w:sz="4" w:space="0" w:color="auto"/>
              <w:left w:val="single" w:sz="4" w:space="0" w:color="auto"/>
            </w:tcBorders>
            <w:vAlign w:val="center"/>
          </w:tcPr>
          <w:p>
            <w:pPr>
              <w:rPr>
                <w:rFonts w:asciiTheme="minorHAnsi" w:eastAsia="Times New Roman" w:hAnsiTheme="minorHAnsi" w:cstheme="minorHAnsi"/>
                <w:b/>
                <w:sz w:val="24"/>
                <w:lang w:val="fr-FR" w:eastAsia="fr-FR"/>
              </w:rPr>
            </w:pPr>
          </w:p>
        </w:tc>
      </w:tr>
    </w:tbl>
    <w:p>
      <w:pPr>
        <w:spacing w:after="0" w:line="240" w:lineRule="auto"/>
        <w:rPr>
          <w:rFonts w:ascii="Verdana" w:eastAsia="Times New Roman" w:hAnsi="Verdana" w:cs="Arial"/>
          <w:b/>
          <w:lang w:val="fr-FR" w:eastAsia="fr-FR"/>
        </w:rPr>
      </w:pPr>
    </w:p>
    <w:tbl>
      <w:tblPr>
        <w:tblStyle w:val="Grilledutableau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21"/>
        <w:gridCol w:w="1613"/>
        <w:gridCol w:w="1617"/>
        <w:gridCol w:w="5225"/>
      </w:tblGrid>
      <w:tr>
        <w:trPr>
          <w:trHeight w:val="393"/>
        </w:trPr>
        <w:tc>
          <w:tcPr>
            <w:tcW w:w="10176" w:type="dxa"/>
            <w:gridSpan w:val="4"/>
            <w:vAlign w:val="center"/>
          </w:tcPr>
          <w:p>
            <w:pPr>
              <w:jc w:val="center"/>
              <w:rPr>
                <w:rFonts w:eastAsia="Times New Roman" w:cs="Calibri"/>
                <w:b/>
                <w:sz w:val="24"/>
                <w:lang w:val="fr-FR" w:eastAsia="fr-FR"/>
              </w:rPr>
            </w:pPr>
            <w:r>
              <w:rPr>
                <w:rFonts w:eastAsia="Times New Roman" w:cs="Calibri"/>
                <w:b/>
                <w:sz w:val="24"/>
                <w:lang w:val="fr-FR" w:eastAsia="fr-FR"/>
              </w:rPr>
              <w:t>Liste des P.O. et écoles adhérant au Centre de gestion dès le 01/09/2019</w:t>
            </w:r>
          </w:p>
        </w:tc>
      </w:tr>
      <w:tr>
        <w:trPr>
          <w:trHeight w:val="683"/>
        </w:trPr>
        <w:tc>
          <w:tcPr>
            <w:tcW w:w="1721" w:type="dxa"/>
            <w:tcBorders>
              <w:top w:val="single" w:sz="12" w:space="0" w:color="auto"/>
              <w:bottom w:val="single" w:sz="4" w:space="0" w:color="auto"/>
              <w:right w:val="single" w:sz="4" w:space="0" w:color="auto"/>
            </w:tcBorders>
            <w:vAlign w:val="center"/>
          </w:tcPr>
          <w:p>
            <w:pPr>
              <w:ind w:left="-28" w:right="-68"/>
              <w:jc w:val="center"/>
              <w:rPr>
                <w:rFonts w:eastAsia="Times New Roman" w:cs="Calibri"/>
                <w:sz w:val="24"/>
                <w:lang w:val="nl-NL" w:eastAsia="fr-FR"/>
              </w:rPr>
            </w:pPr>
            <w:r>
              <w:rPr>
                <w:rFonts w:eastAsia="Times New Roman" w:cs="Calibri"/>
                <w:sz w:val="24"/>
                <w:lang w:val="nl-NL" w:eastAsia="fr-FR"/>
              </w:rPr>
              <w:t xml:space="preserve">N° FASE </w:t>
            </w:r>
          </w:p>
          <w:p>
            <w:pPr>
              <w:ind w:left="-28" w:right="-68"/>
              <w:jc w:val="center"/>
              <w:rPr>
                <w:rFonts w:eastAsia="Times New Roman" w:cs="Calibri"/>
                <w:sz w:val="24"/>
                <w:lang w:val="nl-NL" w:eastAsia="fr-FR"/>
              </w:rPr>
            </w:pPr>
            <w:r>
              <w:rPr>
                <w:rFonts w:eastAsia="Times New Roman" w:cs="Calibri"/>
                <w:sz w:val="24"/>
                <w:lang w:val="nl-NL" w:eastAsia="fr-FR"/>
              </w:rPr>
              <w:t>du P.O.</w:t>
            </w:r>
          </w:p>
        </w:tc>
        <w:tc>
          <w:tcPr>
            <w:tcW w:w="1613" w:type="dxa"/>
            <w:tcBorders>
              <w:top w:val="single" w:sz="12" w:space="0" w:color="auto"/>
              <w:left w:val="single" w:sz="4" w:space="0" w:color="auto"/>
              <w:bottom w:val="single" w:sz="4" w:space="0" w:color="auto"/>
              <w:right w:val="single" w:sz="4" w:space="0" w:color="auto"/>
            </w:tcBorders>
            <w:vAlign w:val="center"/>
          </w:tcPr>
          <w:p>
            <w:pPr>
              <w:jc w:val="center"/>
              <w:outlineLvl w:val="5"/>
              <w:rPr>
                <w:rFonts w:eastAsia="Times New Roman" w:cs="Calibri"/>
                <w:bCs/>
                <w:sz w:val="24"/>
                <w:lang w:val="nl-NL" w:eastAsia="fr-FR"/>
              </w:rPr>
            </w:pPr>
            <w:r>
              <w:rPr>
                <w:rFonts w:eastAsia="Times New Roman" w:cs="Calibri"/>
                <w:bCs/>
                <w:sz w:val="24"/>
                <w:lang w:val="nl-NL" w:eastAsia="fr-FR"/>
              </w:rPr>
              <w:t>N° FASE</w:t>
            </w:r>
          </w:p>
          <w:p>
            <w:pPr>
              <w:ind w:left="-28" w:right="-68"/>
              <w:jc w:val="center"/>
              <w:rPr>
                <w:rFonts w:eastAsia="Times New Roman" w:cs="Calibri"/>
                <w:sz w:val="24"/>
                <w:lang w:val="fr-FR" w:eastAsia="fr-FR"/>
              </w:rPr>
            </w:pPr>
            <w:r>
              <w:rPr>
                <w:rFonts w:eastAsia="Times New Roman" w:cs="Calibri"/>
                <w:sz w:val="24"/>
                <w:lang w:val="fr-FR" w:eastAsia="fr-FR"/>
              </w:rPr>
              <w:t>école</w:t>
            </w:r>
          </w:p>
        </w:tc>
        <w:tc>
          <w:tcPr>
            <w:tcW w:w="1617" w:type="dxa"/>
            <w:tcBorders>
              <w:top w:val="single" w:sz="12" w:space="0" w:color="auto"/>
              <w:left w:val="single" w:sz="4" w:space="0" w:color="auto"/>
              <w:bottom w:val="single" w:sz="4" w:space="0" w:color="auto"/>
              <w:right w:val="single" w:sz="4" w:space="0" w:color="auto"/>
            </w:tcBorders>
            <w:vAlign w:val="center"/>
          </w:tcPr>
          <w:p>
            <w:pPr>
              <w:ind w:right="-70"/>
              <w:jc w:val="center"/>
              <w:rPr>
                <w:rFonts w:eastAsia="Times New Roman" w:cs="Calibri"/>
                <w:sz w:val="24"/>
                <w:lang w:val="fr-FR" w:eastAsia="fr-FR"/>
              </w:rPr>
            </w:pPr>
            <w:r>
              <w:rPr>
                <w:rFonts w:eastAsia="Times New Roman" w:cs="Calibri"/>
                <w:sz w:val="24"/>
                <w:lang w:val="fr-FR" w:eastAsia="fr-FR"/>
              </w:rPr>
              <w:t>Ordinaire/ Spécialisé</w:t>
            </w:r>
          </w:p>
        </w:tc>
        <w:tc>
          <w:tcPr>
            <w:tcW w:w="5225" w:type="dxa"/>
            <w:tcBorders>
              <w:top w:val="single" w:sz="12" w:space="0" w:color="auto"/>
              <w:left w:val="single" w:sz="4" w:space="0" w:color="auto"/>
              <w:bottom w:val="single" w:sz="4" w:space="0" w:color="auto"/>
            </w:tcBorders>
            <w:vAlign w:val="center"/>
          </w:tcPr>
          <w:p>
            <w:pPr>
              <w:jc w:val="center"/>
              <w:rPr>
                <w:rFonts w:eastAsia="Times New Roman" w:cs="Calibri"/>
                <w:sz w:val="24"/>
                <w:lang w:val="fr-FR" w:eastAsia="fr-FR"/>
              </w:rPr>
            </w:pPr>
            <w:r>
              <w:rPr>
                <w:rFonts w:eastAsia="Times New Roman" w:cs="Calibri"/>
                <w:sz w:val="24"/>
                <w:lang w:val="fr-FR" w:eastAsia="fr-FR"/>
              </w:rPr>
              <w:t>Dénomination de l'école</w:t>
            </w:r>
          </w:p>
        </w:tc>
      </w:tr>
      <w:tr>
        <w:trPr>
          <w:trHeight w:val="340"/>
        </w:trPr>
        <w:tc>
          <w:tcPr>
            <w:tcW w:w="1721" w:type="dxa"/>
            <w:tcBorders>
              <w:top w:val="single" w:sz="4" w:space="0" w:color="auto"/>
              <w:right w:val="single" w:sz="4" w:space="0" w:color="auto"/>
            </w:tcBorders>
            <w:vAlign w:val="center"/>
          </w:tcPr>
          <w:p>
            <w:pPr>
              <w:rPr>
                <w:rFonts w:eastAsia="Times New Roman" w:cs="Calibri"/>
                <w:b/>
                <w:sz w:val="24"/>
                <w:lang w:val="fr-FR" w:eastAsia="fr-FR"/>
              </w:rPr>
            </w:pPr>
          </w:p>
        </w:tc>
        <w:tc>
          <w:tcPr>
            <w:tcW w:w="1613" w:type="dxa"/>
            <w:tcBorders>
              <w:top w:val="single" w:sz="4" w:space="0" w:color="auto"/>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top w:val="single" w:sz="4" w:space="0" w:color="auto"/>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top w:val="single" w:sz="4" w:space="0" w:color="auto"/>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3" w:type="dxa"/>
            <w:tcBorders>
              <w:left w:val="single" w:sz="4"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5225" w:type="dxa"/>
            <w:tcBorders>
              <w:left w:val="single" w:sz="4" w:space="0" w:color="auto"/>
            </w:tcBorders>
            <w:vAlign w:val="center"/>
          </w:tcPr>
          <w:p>
            <w:pPr>
              <w:rPr>
                <w:rFonts w:eastAsia="Times New Roman" w:cs="Calibri"/>
                <w:b/>
                <w:sz w:val="24"/>
                <w:lang w:val="fr-FR" w:eastAsia="fr-FR"/>
              </w:rPr>
            </w:pPr>
          </w:p>
        </w:tc>
      </w:tr>
    </w:tbl>
    <w:p>
      <w:pPr>
        <w:spacing w:after="0" w:line="240" w:lineRule="auto"/>
        <w:rPr>
          <w:rFonts w:ascii="Verdana" w:eastAsia="Times New Roman" w:hAnsi="Verdana" w:cs="Arial"/>
          <w:b/>
          <w:lang w:val="fr-FR" w:eastAsia="fr-FR"/>
        </w:rPr>
      </w:pPr>
    </w:p>
    <w:tbl>
      <w:tblPr>
        <w:tblStyle w:val="Grilledutableau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
      <w:tblGrid>
        <w:gridCol w:w="5086"/>
        <w:gridCol w:w="5090"/>
      </w:tblGrid>
      <w:tr>
        <w:trPr>
          <w:trHeight w:val="737"/>
        </w:trPr>
        <w:tc>
          <w:tcPr>
            <w:tcW w:w="5086" w:type="dxa"/>
          </w:tcPr>
          <w:p>
            <w:pPr>
              <w:spacing w:before="120" w:after="120"/>
              <w:rPr>
                <w:rFonts w:asciiTheme="minorHAnsi" w:eastAsia="Times New Roman" w:hAnsiTheme="minorHAnsi" w:cstheme="minorHAnsi"/>
                <w:b/>
                <w:sz w:val="24"/>
                <w:szCs w:val="24"/>
                <w:lang w:val="fr-FR" w:eastAsia="fr-FR"/>
              </w:rPr>
            </w:pPr>
            <w:r>
              <w:rPr>
                <w:rFonts w:asciiTheme="minorHAnsi" w:eastAsia="Times New Roman" w:hAnsiTheme="minorHAnsi" w:cstheme="minorHAnsi"/>
                <w:b/>
                <w:bCs/>
                <w:sz w:val="24"/>
                <w:szCs w:val="24"/>
                <w:lang w:val="fr-FR" w:eastAsia="fr-FR"/>
              </w:rPr>
              <w:t xml:space="preserve">Certifié sincère et exact,                                    </w:t>
            </w:r>
          </w:p>
        </w:tc>
        <w:tc>
          <w:tcPr>
            <w:tcW w:w="5090" w:type="dxa"/>
          </w:tcPr>
          <w:p>
            <w:pPr>
              <w:spacing w:before="120"/>
              <w:jc w:val="center"/>
              <w:rPr>
                <w:rFonts w:asciiTheme="minorHAnsi" w:eastAsia="Times New Roman" w:hAnsiTheme="minorHAnsi" w:cstheme="minorHAnsi"/>
                <w:b/>
                <w:bCs/>
                <w:sz w:val="24"/>
                <w:szCs w:val="24"/>
                <w:lang w:val="fr-FR" w:eastAsia="fr-FR"/>
              </w:rPr>
            </w:pPr>
            <w:r>
              <w:rPr>
                <w:rFonts w:asciiTheme="minorHAnsi" w:eastAsia="Times New Roman" w:hAnsiTheme="minorHAnsi" w:cstheme="minorHAnsi"/>
                <w:b/>
                <w:bCs/>
                <w:sz w:val="24"/>
                <w:szCs w:val="24"/>
                <w:lang w:val="fr-FR" w:eastAsia="fr-FR"/>
              </w:rPr>
              <w:t>Pour le P.O. coordinateur</w:t>
            </w:r>
          </w:p>
          <w:p>
            <w:pPr>
              <w:jc w:val="center"/>
              <w:rPr>
                <w:rFonts w:asciiTheme="minorHAnsi" w:eastAsia="Times New Roman" w:hAnsiTheme="minorHAnsi" w:cstheme="minorHAnsi"/>
                <w:b/>
                <w:sz w:val="24"/>
                <w:szCs w:val="24"/>
                <w:lang w:val="fr-FR" w:eastAsia="fr-FR"/>
              </w:rPr>
            </w:pPr>
            <w:r>
              <w:rPr>
                <w:rFonts w:asciiTheme="minorHAnsi" w:eastAsia="Times New Roman" w:hAnsiTheme="minorHAnsi" w:cstheme="minorHAnsi"/>
                <w:bCs/>
                <w:i/>
                <w:iCs/>
                <w:sz w:val="24"/>
                <w:szCs w:val="24"/>
                <w:lang w:val="fr-FR" w:eastAsia="fr-FR"/>
              </w:rPr>
              <w:t>(Nom et prénom, date et signature)</w:t>
            </w:r>
          </w:p>
        </w:tc>
      </w:tr>
      <w:tr>
        <w:trPr>
          <w:trHeight w:val="1110"/>
        </w:trPr>
        <w:tc>
          <w:tcPr>
            <w:tcW w:w="5086" w:type="dxa"/>
          </w:tcPr>
          <w:p>
            <w:pPr>
              <w:jc w:val="center"/>
              <w:rPr>
                <w:rFonts w:asciiTheme="minorHAnsi" w:eastAsia="Times New Roman" w:hAnsiTheme="minorHAnsi" w:cstheme="minorHAnsi"/>
                <w:b/>
                <w:sz w:val="24"/>
                <w:szCs w:val="24"/>
                <w:lang w:val="fr-FR" w:eastAsia="fr-FR"/>
              </w:rPr>
            </w:pPr>
          </w:p>
        </w:tc>
        <w:tc>
          <w:tcPr>
            <w:tcW w:w="5090" w:type="dxa"/>
          </w:tcPr>
          <w:p>
            <w:pPr>
              <w:jc w:val="center"/>
              <w:rPr>
                <w:rFonts w:asciiTheme="minorHAnsi" w:eastAsia="Times New Roman" w:hAnsiTheme="minorHAnsi" w:cstheme="minorHAnsi"/>
                <w:b/>
                <w:sz w:val="24"/>
                <w:szCs w:val="24"/>
                <w:lang w:val="fr-FR" w:eastAsia="fr-FR"/>
              </w:rPr>
            </w:pPr>
          </w:p>
        </w:tc>
      </w:tr>
    </w:tbl>
    <w:p>
      <w:pPr>
        <w:keepNext/>
        <w:spacing w:before="60" w:after="0" w:line="240" w:lineRule="auto"/>
        <w:jc w:val="center"/>
        <w:outlineLvl w:val="2"/>
        <w:rPr>
          <w:rFonts w:ascii="Verdana" w:eastAsia="Times New Roman" w:hAnsi="Verdana" w:cs="Arial"/>
          <w:b/>
          <w:bCs/>
          <w:iCs/>
          <w:sz w:val="20"/>
          <w:szCs w:val="20"/>
          <w:lang w:val="fr-FR" w:eastAsia="fr-FR"/>
        </w:rPr>
      </w:pPr>
      <w:r>
        <w:rPr>
          <w:rFonts w:ascii="Verdana" w:eastAsia="Times New Roman" w:hAnsi="Verdana" w:cs="Arial"/>
          <w:b/>
          <w:bCs/>
          <w:iCs/>
          <w:sz w:val="20"/>
          <w:szCs w:val="20"/>
          <w:lang w:val="fr-FR" w:eastAsia="fr-FR"/>
        </w:rPr>
        <w:t>Joindre obligatoirement une copie de la convention instituant le Centre de gestion.</w:t>
      </w:r>
    </w:p>
    <w:p>
      <w:pPr>
        <w:keepNext/>
        <w:spacing w:before="120" w:after="60" w:line="240" w:lineRule="auto"/>
        <w:jc w:val="center"/>
        <w:outlineLvl w:val="2"/>
        <w:rPr>
          <w:rFonts w:ascii="Verdana" w:eastAsia="Times New Roman" w:hAnsi="Verdana" w:cs="Arial"/>
          <w:bCs/>
          <w:iCs/>
          <w:sz w:val="20"/>
          <w:szCs w:val="20"/>
          <w:lang w:val="fr-FR" w:eastAsia="fr-FR"/>
        </w:rPr>
      </w:pPr>
      <w:r>
        <w:rPr>
          <w:rFonts w:ascii="Verdana" w:eastAsia="Times New Roman" w:hAnsi="Verdana" w:cs="Arial"/>
          <w:bCs/>
          <w:iCs/>
          <w:sz w:val="20"/>
          <w:szCs w:val="20"/>
          <w:lang w:val="fr-FR" w:eastAsia="fr-FR"/>
        </w:rPr>
        <w:t xml:space="preserve">*À remplir uniquement si paiement sur un compte bancaire spécifique pour le centre de gestion. Dans ce cas, joindre un </w:t>
      </w:r>
      <w:r>
        <w:rPr>
          <w:rFonts w:ascii="Verdana" w:eastAsia="Times New Roman" w:hAnsi="Verdana" w:cs="Arial"/>
          <w:b/>
          <w:bCs/>
          <w:iCs/>
          <w:sz w:val="20"/>
          <w:szCs w:val="20"/>
          <w:lang w:val="fr-FR" w:eastAsia="fr-FR"/>
        </w:rPr>
        <w:t>relevé d’identité bancaire</w:t>
      </w:r>
      <w:r>
        <w:rPr>
          <w:rFonts w:ascii="Verdana" w:eastAsia="Times New Roman" w:hAnsi="Verdana" w:cs="Arial"/>
          <w:bCs/>
          <w:iCs/>
          <w:sz w:val="20"/>
          <w:szCs w:val="20"/>
          <w:lang w:val="fr-FR" w:eastAsia="fr-FR"/>
        </w:rPr>
        <w:t xml:space="preserve"> délivré par la banque.</w:t>
      </w:r>
    </w:p>
    <w:p>
      <w:pPr>
        <w:keepNext/>
        <w:spacing w:before="120" w:after="60" w:line="240" w:lineRule="auto"/>
        <w:jc w:val="center"/>
        <w:outlineLvl w:val="2"/>
        <w:rPr>
          <w:rFonts w:ascii="Verdana" w:eastAsia="Times New Roman" w:hAnsi="Verdana" w:cs="Arial"/>
          <w:bCs/>
          <w:iCs/>
          <w:sz w:val="20"/>
          <w:szCs w:val="20"/>
          <w:lang w:val="fr-FR" w:eastAsia="fr-FR"/>
        </w:rPr>
        <w:sectPr>
          <w:footerReference w:type="default" r:id="rId14"/>
          <w:footnotePr>
            <w:numRestart w:val="eachSect"/>
          </w:footnotePr>
          <w:pgSz w:w="11906" w:h="16838"/>
          <w:pgMar w:top="709" w:right="849" w:bottom="568" w:left="851" w:header="283" w:footer="283" w:gutter="0"/>
          <w:pgNumType w:start="1"/>
          <w:cols w:space="708"/>
          <w:docGrid w:linePitch="360"/>
        </w:sectPr>
      </w:pPr>
    </w:p>
    <w:p>
      <w:pPr>
        <w:keepNext/>
        <w:pBdr>
          <w:top w:val="single" w:sz="12" w:space="0" w:color="auto"/>
          <w:left w:val="single" w:sz="12" w:space="4" w:color="auto"/>
          <w:bottom w:val="single" w:sz="12" w:space="4" w:color="auto"/>
          <w:right w:val="single" w:sz="12" w:space="1" w:color="auto"/>
        </w:pBdr>
        <w:spacing w:after="60" w:line="240" w:lineRule="auto"/>
        <w:ind w:right="142" w:firstLine="284"/>
        <w:outlineLvl w:val="3"/>
        <w:rPr>
          <w:rFonts w:asciiTheme="minorHAnsi" w:eastAsia="Times New Roman" w:hAnsiTheme="minorHAnsi" w:cstheme="minorHAnsi"/>
          <w:b/>
          <w:bCs/>
          <w:sz w:val="28"/>
          <w:lang w:val="fr-FR" w:eastAsia="fr-FR"/>
        </w:rPr>
      </w:pPr>
      <w:r>
        <w:rPr>
          <w:rFonts w:asciiTheme="minorHAnsi" w:eastAsia="Times New Roman" w:hAnsiTheme="minorHAnsi" w:cstheme="minorHAnsi"/>
          <w:b/>
          <w:bCs/>
          <w:sz w:val="28"/>
          <w:lang w:val="fr-FR" w:eastAsia="fr-FR"/>
        </w:rPr>
        <w:lastRenderedPageBreak/>
        <w:t>Annexe 4 – Création ou reconduction d'un Centre de gestion</w:t>
      </w:r>
    </w:p>
    <w:p>
      <w:pPr>
        <w:keepNext/>
        <w:pBdr>
          <w:top w:val="single" w:sz="12" w:space="0" w:color="auto"/>
          <w:left w:val="single" w:sz="12" w:space="4" w:color="auto"/>
          <w:bottom w:val="single" w:sz="12" w:space="4" w:color="auto"/>
          <w:right w:val="single" w:sz="12" w:space="1" w:color="auto"/>
        </w:pBdr>
        <w:spacing w:after="60" w:line="240" w:lineRule="auto"/>
        <w:ind w:right="142" w:firstLine="284"/>
        <w:outlineLvl w:val="3"/>
        <w:rPr>
          <w:rFonts w:asciiTheme="minorHAnsi" w:eastAsia="Times New Roman" w:hAnsiTheme="minorHAnsi" w:cstheme="minorHAnsi"/>
          <w:b/>
          <w:bCs/>
          <w:sz w:val="28"/>
          <w:lang w:val="fr-FR" w:eastAsia="fr-FR"/>
        </w:rPr>
      </w:pPr>
      <w:r>
        <w:rPr>
          <w:rFonts w:asciiTheme="minorHAnsi" w:eastAsia="Times New Roman" w:hAnsiTheme="minorHAnsi" w:cstheme="minorHAnsi"/>
          <w:b/>
          <w:bCs/>
          <w:sz w:val="28"/>
          <w:lang w:val="fr-FR" w:eastAsia="fr-FR"/>
        </w:rPr>
        <w:t>Enseignement organisé par la FWB</w:t>
      </w:r>
      <w:r>
        <w:rPr>
          <w:rFonts w:asciiTheme="minorHAnsi" w:eastAsia="Times New Roman" w:hAnsiTheme="minorHAnsi" w:cstheme="minorHAnsi"/>
          <w:b/>
          <w:bCs/>
          <w:sz w:val="28"/>
          <w:lang w:val="fr-FR" w:eastAsia="fr-FR"/>
        </w:rPr>
        <w:tab/>
      </w:r>
      <w:r>
        <w:rPr>
          <w:rFonts w:asciiTheme="minorHAnsi" w:eastAsia="Times New Roman" w:hAnsiTheme="minorHAnsi" w:cstheme="minorHAnsi"/>
          <w:b/>
          <w:bCs/>
          <w:sz w:val="28"/>
          <w:lang w:val="fr-FR" w:eastAsia="fr-FR"/>
        </w:rPr>
        <w:tab/>
      </w:r>
      <w:r>
        <w:rPr>
          <w:rFonts w:asciiTheme="minorHAnsi" w:eastAsia="Times New Roman" w:hAnsiTheme="minorHAnsi" w:cstheme="minorHAnsi"/>
          <w:b/>
          <w:bCs/>
          <w:sz w:val="28"/>
          <w:lang w:val="fr-FR" w:eastAsia="fr-FR"/>
        </w:rPr>
        <w:tab/>
        <w:t>01/01/2019 au 31/08/2025</w:t>
      </w:r>
    </w:p>
    <w:p>
      <w:pPr>
        <w:spacing w:before="120" w:after="120" w:line="240" w:lineRule="auto"/>
        <w:ind w:right="567" w:firstLine="567"/>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 xml:space="preserve">Formulaire à compléter exclusivement par le </w:t>
      </w:r>
      <w:r>
        <w:rPr>
          <w:rFonts w:asciiTheme="minorHAnsi" w:eastAsia="Times New Roman" w:hAnsiTheme="minorHAnsi" w:cstheme="minorHAnsi"/>
          <w:b/>
          <w:i/>
          <w:iCs/>
          <w:sz w:val="24"/>
          <w:lang w:val="fr-FR" w:eastAsia="fr-FR"/>
        </w:rPr>
        <w:t>Chef d’établissement assurant la coordination</w:t>
      </w:r>
      <w:r>
        <w:rPr>
          <w:rFonts w:asciiTheme="minorHAnsi" w:eastAsia="Times New Roman" w:hAnsiTheme="minorHAnsi" w:cstheme="minorHAnsi"/>
          <w:i/>
          <w:iCs/>
          <w:sz w:val="24"/>
          <w:lang w:val="fr-FR" w:eastAsia="fr-FR"/>
        </w:rPr>
        <w:t xml:space="preserve"> du Centre de gestion </w:t>
      </w:r>
    </w:p>
    <w:p>
      <w:pPr>
        <w:spacing w:before="120" w:after="12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b/>
          <w:i/>
          <w:iCs/>
          <w:sz w:val="24"/>
          <w:lang w:val="fr-FR" w:eastAsia="fr-FR"/>
        </w:rPr>
        <w:t xml:space="preserve">À renvoyer à l'adresse suivante </w:t>
      </w:r>
      <w:r>
        <w:rPr>
          <w:rFonts w:asciiTheme="minorHAnsi" w:eastAsia="Times New Roman" w:hAnsiTheme="minorHAnsi" w:cstheme="minorHAnsi"/>
          <w:b/>
          <w:i/>
          <w:iCs/>
          <w:sz w:val="24"/>
          <w:u w:val="single"/>
          <w:lang w:val="fr-FR" w:eastAsia="fr-FR"/>
        </w:rPr>
        <w:t>avant le 30 juin 2019</w:t>
      </w:r>
      <w:r>
        <w:rPr>
          <w:rFonts w:asciiTheme="minorHAnsi" w:eastAsia="Times New Roman" w:hAnsiTheme="minorHAnsi" w:cstheme="minorHAnsi"/>
          <w:i/>
          <w:iCs/>
          <w:sz w:val="24"/>
          <w:lang w:val="fr-FR" w:eastAsia="fr-FR"/>
        </w:rPr>
        <w:t>:</w:t>
      </w:r>
    </w:p>
    <w:p>
      <w:pPr>
        <w:spacing w:after="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Direction générale de l'Enseignement obligatoire</w:t>
      </w:r>
    </w:p>
    <w:p>
      <w:pPr>
        <w:spacing w:after="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 xml:space="preserve"> Bureau </w:t>
      </w:r>
      <w:smartTag w:uri="urn:schemas-microsoft-com:office:smarttags" w:element="metricconverter">
        <w:smartTagPr>
          <w:attr w:name="ProductID" w:val="2.F"/>
        </w:smartTagPr>
        <w:r>
          <w:rPr>
            <w:rFonts w:asciiTheme="minorHAnsi" w:eastAsia="Times New Roman" w:hAnsiTheme="minorHAnsi" w:cstheme="minorHAnsi"/>
            <w:i/>
            <w:iCs/>
            <w:sz w:val="24"/>
            <w:lang w:val="fr-FR" w:eastAsia="fr-FR"/>
          </w:rPr>
          <w:t>2.F</w:t>
        </w:r>
      </w:smartTag>
      <w:r>
        <w:rPr>
          <w:rFonts w:asciiTheme="minorHAnsi" w:eastAsia="Times New Roman" w:hAnsiTheme="minorHAnsi" w:cstheme="minorHAnsi"/>
          <w:i/>
          <w:iCs/>
          <w:sz w:val="24"/>
          <w:lang w:val="fr-FR" w:eastAsia="fr-FR"/>
        </w:rPr>
        <w:t>.211</w:t>
      </w:r>
    </w:p>
    <w:p>
      <w:pPr>
        <w:spacing w:after="120" w:line="240" w:lineRule="auto"/>
        <w:jc w:val="center"/>
        <w:rPr>
          <w:rFonts w:asciiTheme="minorHAnsi" w:eastAsia="Times New Roman" w:hAnsiTheme="minorHAnsi" w:cstheme="minorHAnsi"/>
          <w:i/>
          <w:iCs/>
          <w:sz w:val="24"/>
          <w:lang w:val="fr-FR" w:eastAsia="fr-FR"/>
        </w:rPr>
      </w:pPr>
      <w:r>
        <w:rPr>
          <w:rFonts w:asciiTheme="minorHAnsi" w:eastAsia="Times New Roman" w:hAnsiTheme="minorHAnsi" w:cstheme="minorHAnsi"/>
          <w:i/>
          <w:iCs/>
          <w:sz w:val="24"/>
          <w:lang w:val="fr-FR" w:eastAsia="fr-FR"/>
        </w:rPr>
        <w:t xml:space="preserve">Rue Adolphe </w:t>
      </w:r>
      <w:proofErr w:type="spellStart"/>
      <w:r>
        <w:rPr>
          <w:rFonts w:asciiTheme="minorHAnsi" w:eastAsia="Times New Roman" w:hAnsiTheme="minorHAnsi" w:cstheme="minorHAnsi"/>
          <w:i/>
          <w:iCs/>
          <w:sz w:val="24"/>
          <w:lang w:val="fr-FR" w:eastAsia="fr-FR"/>
        </w:rPr>
        <w:t>Lavallée</w:t>
      </w:r>
      <w:proofErr w:type="spellEnd"/>
      <w:r>
        <w:rPr>
          <w:rFonts w:asciiTheme="minorHAnsi" w:eastAsia="Times New Roman" w:hAnsiTheme="minorHAnsi" w:cstheme="minorHAnsi"/>
          <w:i/>
          <w:iCs/>
          <w:sz w:val="24"/>
          <w:lang w:val="fr-FR" w:eastAsia="fr-FR"/>
        </w:rPr>
        <w:t>, 1 à 1080   BRUXELLES</w:t>
      </w:r>
    </w:p>
    <w:tbl>
      <w:tblPr>
        <w:tblStyle w:val="Grilledutableau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02"/>
        <w:gridCol w:w="2761"/>
        <w:gridCol w:w="5513"/>
      </w:tblGrid>
      <w:tr>
        <w:trPr>
          <w:trHeight w:val="283"/>
        </w:trPr>
        <w:tc>
          <w:tcPr>
            <w:tcW w:w="1902" w:type="dxa"/>
            <w:tcBorders>
              <w:bottom w:val="single" w:sz="4" w:space="0" w:color="auto"/>
              <w:right w:val="single" w:sz="4" w:space="0" w:color="auto"/>
            </w:tcBorders>
            <w:vAlign w:val="center"/>
          </w:tcPr>
          <w:p>
            <w:pPr>
              <w:rPr>
                <w:rFonts w:asciiTheme="minorHAnsi" w:eastAsia="Times New Roman" w:hAnsiTheme="minorHAnsi" w:cstheme="minorHAnsi"/>
                <w:sz w:val="24"/>
                <w:lang w:val="fr-FR" w:eastAsia="fr-FR"/>
              </w:rPr>
            </w:pPr>
            <w:r>
              <w:rPr>
                <w:rFonts w:asciiTheme="minorHAnsi" w:eastAsia="Times New Roman" w:hAnsiTheme="minorHAnsi" w:cstheme="minorHAnsi"/>
                <w:sz w:val="24"/>
                <w:lang w:val="fr-FR" w:eastAsia="fr-FR"/>
              </w:rPr>
              <w:t>N° FASE école</w:t>
            </w:r>
          </w:p>
        </w:tc>
        <w:tc>
          <w:tcPr>
            <w:tcW w:w="8274" w:type="dxa"/>
            <w:gridSpan w:val="2"/>
            <w:tcBorders>
              <w:left w:val="single" w:sz="4" w:space="0" w:color="auto"/>
              <w:bottom w:val="single" w:sz="4" w:space="0" w:color="auto"/>
            </w:tcBorders>
            <w:vAlign w:val="center"/>
          </w:tcPr>
          <w:p>
            <w:pPr>
              <w:keepNext/>
              <w:outlineLvl w:val="1"/>
              <w:rPr>
                <w:rFonts w:asciiTheme="minorHAnsi" w:eastAsia="Times New Roman" w:hAnsiTheme="minorHAnsi" w:cstheme="minorHAnsi"/>
                <w:bCs/>
                <w:i/>
                <w:iCs/>
                <w:sz w:val="24"/>
                <w:lang w:val="fr-FR" w:eastAsia="fr-FR"/>
              </w:rPr>
            </w:pPr>
            <w:r>
              <w:rPr>
                <w:rFonts w:asciiTheme="minorHAnsi" w:eastAsia="Times New Roman" w:hAnsiTheme="minorHAnsi" w:cstheme="minorHAnsi"/>
                <w:sz w:val="24"/>
                <w:lang w:val="fr-FR" w:eastAsia="fr-FR"/>
              </w:rPr>
              <w:t>Dénomination de l’école coordinatrice du Centre de gestion</w:t>
            </w:r>
          </w:p>
        </w:tc>
      </w:tr>
      <w:tr>
        <w:trPr>
          <w:trHeight w:val="454"/>
        </w:trPr>
        <w:tc>
          <w:tcPr>
            <w:tcW w:w="1902" w:type="dxa"/>
            <w:tcBorders>
              <w:top w:val="single" w:sz="4" w:space="0" w:color="auto"/>
              <w:right w:val="single" w:sz="4" w:space="0" w:color="auto"/>
            </w:tcBorders>
            <w:vAlign w:val="center"/>
          </w:tcPr>
          <w:p>
            <w:pPr>
              <w:rPr>
                <w:rFonts w:asciiTheme="minorHAnsi" w:eastAsia="Times New Roman" w:hAnsiTheme="minorHAnsi" w:cstheme="minorHAnsi"/>
                <w:sz w:val="24"/>
                <w:lang w:val="fr-FR" w:eastAsia="fr-FR"/>
              </w:rPr>
            </w:pPr>
          </w:p>
        </w:tc>
        <w:tc>
          <w:tcPr>
            <w:tcW w:w="8274" w:type="dxa"/>
            <w:gridSpan w:val="2"/>
            <w:tcBorders>
              <w:top w:val="single" w:sz="4" w:space="0" w:color="auto"/>
              <w:left w:val="single" w:sz="4" w:space="0" w:color="auto"/>
            </w:tcBorders>
            <w:vAlign w:val="center"/>
          </w:tcPr>
          <w:p>
            <w:pPr>
              <w:rPr>
                <w:rFonts w:asciiTheme="minorHAnsi" w:eastAsia="Times New Roman" w:hAnsiTheme="minorHAnsi" w:cstheme="minorHAnsi"/>
                <w:sz w:val="24"/>
                <w:lang w:val="fr-FR" w:eastAsia="fr-FR"/>
              </w:rPr>
            </w:pPr>
          </w:p>
        </w:tc>
      </w:tr>
      <w:tr>
        <w:trPr>
          <w:trHeight w:val="283"/>
        </w:trPr>
        <w:tc>
          <w:tcPr>
            <w:tcW w:w="4663" w:type="dxa"/>
            <w:gridSpan w:val="2"/>
            <w:tcBorders>
              <w:top w:val="single" w:sz="12" w:space="0" w:color="auto"/>
              <w:bottom w:val="single" w:sz="4" w:space="0" w:color="auto"/>
              <w:right w:val="single" w:sz="4" w:space="0" w:color="auto"/>
            </w:tcBorders>
            <w:vAlign w:val="center"/>
          </w:tcPr>
          <w:p>
            <w:pPr>
              <w:rPr>
                <w:rFonts w:asciiTheme="minorHAnsi" w:eastAsia="Times New Roman" w:hAnsiTheme="minorHAnsi" w:cstheme="minorHAnsi"/>
                <w:sz w:val="24"/>
                <w:lang w:val="fr-FR" w:eastAsia="fr-FR"/>
              </w:rPr>
            </w:pPr>
            <w:r>
              <w:rPr>
                <w:rFonts w:asciiTheme="minorHAnsi" w:eastAsia="Times New Roman" w:hAnsiTheme="minorHAnsi" w:cstheme="minorHAnsi"/>
                <w:sz w:val="24"/>
                <w:lang w:val="fr-FR" w:eastAsia="fr-FR"/>
              </w:rPr>
              <w:t>N° de compte bancaire du centre de gestion*</w:t>
            </w:r>
          </w:p>
        </w:tc>
        <w:tc>
          <w:tcPr>
            <w:tcW w:w="5513" w:type="dxa"/>
            <w:tcBorders>
              <w:top w:val="single" w:sz="12" w:space="0" w:color="auto"/>
              <w:left w:val="single" w:sz="4" w:space="0" w:color="auto"/>
              <w:bottom w:val="single" w:sz="4" w:space="0" w:color="auto"/>
            </w:tcBorders>
            <w:vAlign w:val="center"/>
          </w:tcPr>
          <w:p>
            <w:pPr>
              <w:rPr>
                <w:rFonts w:asciiTheme="minorHAnsi" w:eastAsia="Times New Roman" w:hAnsiTheme="minorHAnsi" w:cstheme="minorHAnsi"/>
                <w:sz w:val="24"/>
                <w:lang w:val="fr-FR" w:eastAsia="fr-FR"/>
              </w:rPr>
            </w:pPr>
            <w:r>
              <w:rPr>
                <w:rFonts w:asciiTheme="minorHAnsi" w:eastAsia="Times New Roman" w:hAnsiTheme="minorHAnsi" w:cstheme="minorHAnsi"/>
                <w:sz w:val="24"/>
                <w:lang w:val="fr-FR" w:eastAsia="fr-FR"/>
              </w:rPr>
              <w:t>Intitulé du compte bancaire*</w:t>
            </w:r>
          </w:p>
        </w:tc>
      </w:tr>
      <w:tr>
        <w:trPr>
          <w:trHeight w:val="454"/>
        </w:trPr>
        <w:tc>
          <w:tcPr>
            <w:tcW w:w="4663" w:type="dxa"/>
            <w:gridSpan w:val="2"/>
            <w:tcBorders>
              <w:top w:val="single" w:sz="4" w:space="0" w:color="auto"/>
              <w:right w:val="single" w:sz="4" w:space="0" w:color="auto"/>
            </w:tcBorders>
            <w:vAlign w:val="center"/>
          </w:tcPr>
          <w:p>
            <w:pPr>
              <w:rPr>
                <w:rFonts w:asciiTheme="minorHAnsi" w:eastAsia="Times New Roman" w:hAnsiTheme="minorHAnsi" w:cstheme="minorHAnsi"/>
                <w:sz w:val="24"/>
                <w:lang w:val="fr-FR" w:eastAsia="fr-FR"/>
              </w:rPr>
            </w:pPr>
          </w:p>
        </w:tc>
        <w:tc>
          <w:tcPr>
            <w:tcW w:w="5513" w:type="dxa"/>
            <w:tcBorders>
              <w:top w:val="single" w:sz="4" w:space="0" w:color="auto"/>
              <w:left w:val="single" w:sz="4" w:space="0" w:color="auto"/>
            </w:tcBorders>
            <w:vAlign w:val="center"/>
          </w:tcPr>
          <w:p>
            <w:pPr>
              <w:rPr>
                <w:rFonts w:asciiTheme="minorHAnsi" w:eastAsia="Times New Roman" w:hAnsiTheme="minorHAnsi" w:cstheme="minorHAnsi"/>
                <w:sz w:val="24"/>
                <w:lang w:val="fr-FR" w:eastAsia="fr-FR"/>
              </w:rPr>
            </w:pPr>
          </w:p>
        </w:tc>
      </w:tr>
    </w:tbl>
    <w:p>
      <w:pPr>
        <w:spacing w:after="0" w:line="240" w:lineRule="auto"/>
        <w:rPr>
          <w:rFonts w:ascii="Verdana" w:eastAsia="Times New Roman" w:hAnsi="Verdana" w:cs="Arial"/>
          <w:b/>
          <w:lang w:val="fr-FR" w:eastAsia="fr-FR"/>
        </w:rPr>
      </w:pPr>
    </w:p>
    <w:tbl>
      <w:tblPr>
        <w:tblStyle w:val="Grilledutableau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21"/>
        <w:gridCol w:w="1617"/>
        <w:gridCol w:w="6838"/>
      </w:tblGrid>
      <w:tr>
        <w:trPr>
          <w:trHeight w:val="393"/>
        </w:trPr>
        <w:tc>
          <w:tcPr>
            <w:tcW w:w="10176" w:type="dxa"/>
            <w:gridSpan w:val="3"/>
            <w:vAlign w:val="center"/>
          </w:tcPr>
          <w:p>
            <w:pPr>
              <w:jc w:val="center"/>
              <w:rPr>
                <w:rFonts w:eastAsia="Times New Roman" w:cs="Calibri"/>
                <w:b/>
                <w:sz w:val="24"/>
                <w:lang w:val="fr-FR" w:eastAsia="fr-FR"/>
              </w:rPr>
            </w:pPr>
            <w:r>
              <w:rPr>
                <w:rFonts w:eastAsia="Times New Roman" w:cs="Calibri"/>
                <w:b/>
                <w:sz w:val="24"/>
                <w:lang w:val="fr-FR" w:eastAsia="fr-FR"/>
              </w:rPr>
              <w:t xml:space="preserve">Liste des écoles </w:t>
            </w:r>
            <w:r>
              <w:rPr>
                <w:rFonts w:eastAsia="Times New Roman" w:cs="Calibri"/>
                <w:sz w:val="24"/>
                <w:lang w:val="fr-FR" w:eastAsia="fr-FR"/>
              </w:rPr>
              <w:t>(autonomes ou annexées)</w:t>
            </w:r>
            <w:r>
              <w:rPr>
                <w:rFonts w:eastAsia="Times New Roman" w:cs="Calibri"/>
                <w:b/>
                <w:sz w:val="24"/>
                <w:lang w:val="fr-FR" w:eastAsia="fr-FR"/>
              </w:rPr>
              <w:t xml:space="preserve"> adhérant au Centre de gestion dès le 01/09/2019</w:t>
            </w:r>
          </w:p>
        </w:tc>
      </w:tr>
      <w:tr>
        <w:trPr>
          <w:trHeight w:val="683"/>
        </w:trPr>
        <w:tc>
          <w:tcPr>
            <w:tcW w:w="1721" w:type="dxa"/>
            <w:tcBorders>
              <w:top w:val="single" w:sz="12" w:space="0" w:color="auto"/>
              <w:bottom w:val="single" w:sz="4" w:space="0" w:color="auto"/>
              <w:right w:val="single" w:sz="4" w:space="0" w:color="auto"/>
            </w:tcBorders>
            <w:vAlign w:val="center"/>
          </w:tcPr>
          <w:p>
            <w:pPr>
              <w:ind w:left="-28" w:right="-68"/>
              <w:jc w:val="center"/>
              <w:rPr>
                <w:rFonts w:eastAsia="Times New Roman" w:cs="Calibri"/>
                <w:sz w:val="24"/>
                <w:lang w:val="nl-NL" w:eastAsia="fr-FR"/>
              </w:rPr>
            </w:pPr>
            <w:r>
              <w:rPr>
                <w:rFonts w:eastAsia="Times New Roman" w:cs="Calibri"/>
                <w:sz w:val="24"/>
                <w:lang w:val="nl-NL" w:eastAsia="fr-FR"/>
              </w:rPr>
              <w:t xml:space="preserve">N° FASE </w:t>
            </w:r>
          </w:p>
          <w:p>
            <w:pPr>
              <w:ind w:left="-28" w:right="-68"/>
              <w:jc w:val="center"/>
              <w:rPr>
                <w:rFonts w:eastAsia="Times New Roman" w:cs="Calibri"/>
                <w:sz w:val="24"/>
                <w:lang w:val="nl-NL" w:eastAsia="fr-FR"/>
              </w:rPr>
            </w:pPr>
            <w:r>
              <w:rPr>
                <w:rFonts w:eastAsia="Times New Roman" w:cs="Calibri"/>
                <w:sz w:val="24"/>
                <w:lang w:val="nl-NL" w:eastAsia="fr-FR"/>
              </w:rPr>
              <w:t>école</w:t>
            </w:r>
          </w:p>
        </w:tc>
        <w:tc>
          <w:tcPr>
            <w:tcW w:w="1617" w:type="dxa"/>
            <w:tcBorders>
              <w:top w:val="single" w:sz="12" w:space="0" w:color="auto"/>
              <w:left w:val="single" w:sz="4" w:space="0" w:color="auto"/>
              <w:bottom w:val="single" w:sz="4" w:space="0" w:color="auto"/>
              <w:right w:val="single" w:sz="4" w:space="0" w:color="auto"/>
            </w:tcBorders>
            <w:vAlign w:val="center"/>
          </w:tcPr>
          <w:p>
            <w:pPr>
              <w:ind w:right="-70"/>
              <w:jc w:val="center"/>
              <w:rPr>
                <w:rFonts w:eastAsia="Times New Roman" w:cs="Calibri"/>
                <w:sz w:val="24"/>
                <w:lang w:val="fr-FR" w:eastAsia="fr-FR"/>
              </w:rPr>
            </w:pPr>
            <w:r>
              <w:rPr>
                <w:rFonts w:eastAsia="Times New Roman" w:cs="Calibri"/>
                <w:sz w:val="24"/>
                <w:lang w:val="fr-FR" w:eastAsia="fr-FR"/>
              </w:rPr>
              <w:t>Ordinaire/ Spécialisé</w:t>
            </w:r>
          </w:p>
        </w:tc>
        <w:tc>
          <w:tcPr>
            <w:tcW w:w="6838" w:type="dxa"/>
            <w:tcBorders>
              <w:top w:val="single" w:sz="12" w:space="0" w:color="auto"/>
              <w:left w:val="single" w:sz="4" w:space="0" w:color="auto"/>
              <w:bottom w:val="single" w:sz="4" w:space="0" w:color="auto"/>
            </w:tcBorders>
            <w:vAlign w:val="center"/>
          </w:tcPr>
          <w:p>
            <w:pPr>
              <w:jc w:val="center"/>
              <w:rPr>
                <w:rFonts w:eastAsia="Times New Roman" w:cs="Calibri"/>
                <w:sz w:val="24"/>
                <w:lang w:val="fr-FR" w:eastAsia="fr-FR"/>
              </w:rPr>
            </w:pPr>
            <w:r>
              <w:rPr>
                <w:rFonts w:eastAsia="Times New Roman" w:cs="Calibri"/>
                <w:sz w:val="24"/>
                <w:lang w:val="fr-FR" w:eastAsia="fr-FR"/>
              </w:rPr>
              <w:t>Dénomination de l'école</w:t>
            </w:r>
          </w:p>
        </w:tc>
      </w:tr>
      <w:tr>
        <w:trPr>
          <w:trHeight w:val="340"/>
        </w:trPr>
        <w:tc>
          <w:tcPr>
            <w:tcW w:w="1721" w:type="dxa"/>
            <w:tcBorders>
              <w:top w:val="single" w:sz="4" w:space="0" w:color="auto"/>
              <w:right w:val="single" w:sz="4" w:space="0" w:color="auto"/>
            </w:tcBorders>
            <w:vAlign w:val="center"/>
          </w:tcPr>
          <w:p>
            <w:pPr>
              <w:rPr>
                <w:rFonts w:eastAsia="Times New Roman" w:cs="Calibri"/>
                <w:b/>
                <w:sz w:val="24"/>
                <w:lang w:val="fr-FR" w:eastAsia="fr-FR"/>
              </w:rPr>
            </w:pPr>
          </w:p>
        </w:tc>
        <w:tc>
          <w:tcPr>
            <w:tcW w:w="1617" w:type="dxa"/>
            <w:tcBorders>
              <w:top w:val="single" w:sz="4" w:space="0" w:color="auto"/>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top w:val="single" w:sz="4" w:space="0" w:color="auto"/>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tcBorders>
            <w:vAlign w:val="center"/>
          </w:tcPr>
          <w:p>
            <w:pPr>
              <w:rPr>
                <w:rFonts w:eastAsia="Times New Roman" w:cs="Calibri"/>
                <w:b/>
                <w:sz w:val="24"/>
                <w:lang w:val="fr-FR" w:eastAsia="fr-FR"/>
              </w:rPr>
            </w:pPr>
          </w:p>
        </w:tc>
      </w:tr>
      <w:tr>
        <w:trPr>
          <w:trHeight w:val="340"/>
        </w:trPr>
        <w:tc>
          <w:tcPr>
            <w:tcW w:w="1721" w:type="dxa"/>
            <w:tcBorders>
              <w:bottom w:val="single" w:sz="12" w:space="0" w:color="auto"/>
              <w:right w:val="single" w:sz="4" w:space="0" w:color="auto"/>
            </w:tcBorders>
            <w:vAlign w:val="center"/>
          </w:tcPr>
          <w:p>
            <w:pPr>
              <w:rPr>
                <w:rFonts w:eastAsia="Times New Roman" w:cs="Calibri"/>
                <w:b/>
                <w:sz w:val="24"/>
                <w:lang w:val="fr-FR" w:eastAsia="fr-FR"/>
              </w:rPr>
            </w:pPr>
          </w:p>
        </w:tc>
        <w:tc>
          <w:tcPr>
            <w:tcW w:w="1617" w:type="dxa"/>
            <w:tcBorders>
              <w:left w:val="single" w:sz="4" w:space="0" w:color="auto"/>
              <w:bottom w:val="single" w:sz="12" w:space="0" w:color="auto"/>
              <w:right w:val="single" w:sz="4" w:space="0" w:color="auto"/>
            </w:tcBorders>
            <w:vAlign w:val="center"/>
          </w:tcPr>
          <w:p>
            <w:pPr>
              <w:rPr>
                <w:rFonts w:eastAsia="Times New Roman" w:cs="Calibri"/>
                <w:b/>
                <w:sz w:val="24"/>
                <w:lang w:val="fr-FR" w:eastAsia="fr-FR"/>
              </w:rPr>
            </w:pPr>
          </w:p>
        </w:tc>
        <w:tc>
          <w:tcPr>
            <w:tcW w:w="6838" w:type="dxa"/>
            <w:tcBorders>
              <w:left w:val="single" w:sz="4" w:space="0" w:color="auto"/>
              <w:bottom w:val="single" w:sz="12" w:space="0" w:color="auto"/>
            </w:tcBorders>
            <w:vAlign w:val="center"/>
          </w:tcPr>
          <w:p>
            <w:pPr>
              <w:rPr>
                <w:rFonts w:eastAsia="Times New Roman" w:cs="Calibri"/>
                <w:b/>
                <w:sz w:val="24"/>
                <w:lang w:val="fr-FR" w:eastAsia="fr-FR"/>
              </w:rPr>
            </w:pPr>
          </w:p>
        </w:tc>
      </w:tr>
    </w:tbl>
    <w:p>
      <w:pPr>
        <w:spacing w:after="0" w:line="240" w:lineRule="auto"/>
        <w:rPr>
          <w:rFonts w:ascii="Verdana" w:eastAsia="Times New Roman" w:hAnsi="Verdana" w:cs="Arial"/>
          <w:b/>
          <w:lang w:val="fr-FR" w:eastAsia="fr-FR"/>
        </w:rPr>
      </w:pPr>
    </w:p>
    <w:tbl>
      <w:tblPr>
        <w:tblStyle w:val="Grilledutableau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
      <w:tblGrid>
        <w:gridCol w:w="5086"/>
        <w:gridCol w:w="5090"/>
      </w:tblGrid>
      <w:tr>
        <w:trPr>
          <w:trHeight w:val="737"/>
        </w:trPr>
        <w:tc>
          <w:tcPr>
            <w:tcW w:w="5086" w:type="dxa"/>
          </w:tcPr>
          <w:p>
            <w:pPr>
              <w:spacing w:before="120" w:after="120"/>
              <w:rPr>
                <w:rFonts w:asciiTheme="minorHAnsi" w:eastAsia="Times New Roman" w:hAnsiTheme="minorHAnsi" w:cstheme="minorHAnsi"/>
                <w:b/>
                <w:sz w:val="24"/>
                <w:szCs w:val="24"/>
                <w:lang w:val="fr-FR" w:eastAsia="fr-FR"/>
              </w:rPr>
            </w:pPr>
            <w:r>
              <w:rPr>
                <w:rFonts w:asciiTheme="minorHAnsi" w:eastAsia="Times New Roman" w:hAnsiTheme="minorHAnsi" w:cstheme="minorHAnsi"/>
                <w:b/>
                <w:bCs/>
                <w:sz w:val="24"/>
                <w:szCs w:val="24"/>
                <w:lang w:val="fr-FR" w:eastAsia="fr-FR"/>
              </w:rPr>
              <w:t xml:space="preserve">Certifié sincère et exact,                                    </w:t>
            </w:r>
          </w:p>
        </w:tc>
        <w:tc>
          <w:tcPr>
            <w:tcW w:w="5090" w:type="dxa"/>
          </w:tcPr>
          <w:p>
            <w:pPr>
              <w:spacing w:before="120"/>
              <w:jc w:val="center"/>
              <w:rPr>
                <w:rFonts w:asciiTheme="minorHAnsi" w:eastAsia="Times New Roman" w:hAnsiTheme="minorHAnsi" w:cstheme="minorHAnsi"/>
                <w:b/>
                <w:bCs/>
                <w:sz w:val="24"/>
                <w:szCs w:val="24"/>
                <w:lang w:val="fr-FR" w:eastAsia="fr-FR"/>
              </w:rPr>
            </w:pPr>
            <w:r>
              <w:rPr>
                <w:rFonts w:asciiTheme="minorHAnsi" w:eastAsia="Times New Roman" w:hAnsiTheme="minorHAnsi" w:cstheme="minorHAnsi"/>
                <w:b/>
                <w:bCs/>
                <w:sz w:val="24"/>
                <w:szCs w:val="24"/>
                <w:lang w:val="fr-FR" w:eastAsia="fr-FR"/>
              </w:rPr>
              <w:t>Le Chef d’établissement coordinateur</w:t>
            </w:r>
          </w:p>
          <w:p>
            <w:pPr>
              <w:jc w:val="center"/>
              <w:rPr>
                <w:rFonts w:asciiTheme="minorHAnsi" w:eastAsia="Times New Roman" w:hAnsiTheme="minorHAnsi" w:cstheme="minorHAnsi"/>
                <w:b/>
                <w:sz w:val="24"/>
                <w:szCs w:val="24"/>
                <w:lang w:val="fr-FR" w:eastAsia="fr-FR"/>
              </w:rPr>
            </w:pPr>
            <w:r>
              <w:rPr>
                <w:rFonts w:asciiTheme="minorHAnsi" w:eastAsia="Times New Roman" w:hAnsiTheme="minorHAnsi" w:cstheme="minorHAnsi"/>
                <w:bCs/>
                <w:i/>
                <w:iCs/>
                <w:sz w:val="24"/>
                <w:szCs w:val="24"/>
                <w:lang w:val="fr-FR" w:eastAsia="fr-FR"/>
              </w:rPr>
              <w:t>(Nom et prénom, date et signature)</w:t>
            </w:r>
          </w:p>
        </w:tc>
      </w:tr>
      <w:tr>
        <w:trPr>
          <w:trHeight w:val="1110"/>
        </w:trPr>
        <w:tc>
          <w:tcPr>
            <w:tcW w:w="5086" w:type="dxa"/>
          </w:tcPr>
          <w:p>
            <w:pPr>
              <w:jc w:val="center"/>
              <w:rPr>
                <w:rFonts w:asciiTheme="minorHAnsi" w:eastAsia="Times New Roman" w:hAnsiTheme="minorHAnsi" w:cstheme="minorHAnsi"/>
                <w:b/>
                <w:sz w:val="24"/>
                <w:szCs w:val="24"/>
                <w:lang w:val="fr-FR" w:eastAsia="fr-FR"/>
              </w:rPr>
            </w:pPr>
          </w:p>
        </w:tc>
        <w:tc>
          <w:tcPr>
            <w:tcW w:w="5090" w:type="dxa"/>
          </w:tcPr>
          <w:p>
            <w:pPr>
              <w:jc w:val="center"/>
              <w:rPr>
                <w:rFonts w:asciiTheme="minorHAnsi" w:eastAsia="Times New Roman" w:hAnsiTheme="minorHAnsi" w:cstheme="minorHAnsi"/>
                <w:b/>
                <w:sz w:val="24"/>
                <w:szCs w:val="24"/>
                <w:lang w:val="fr-FR" w:eastAsia="fr-FR"/>
              </w:rPr>
            </w:pPr>
          </w:p>
        </w:tc>
      </w:tr>
    </w:tbl>
    <w:p>
      <w:pPr>
        <w:keepNext/>
        <w:spacing w:before="60" w:after="60" w:line="240" w:lineRule="auto"/>
        <w:jc w:val="center"/>
        <w:outlineLvl w:val="2"/>
        <w:rPr>
          <w:rFonts w:ascii="Verdana" w:eastAsia="Times New Roman" w:hAnsi="Verdana" w:cs="Arial"/>
          <w:b/>
          <w:bCs/>
          <w:iCs/>
          <w:sz w:val="20"/>
          <w:szCs w:val="20"/>
          <w:lang w:val="fr-FR" w:eastAsia="fr-FR"/>
        </w:rPr>
      </w:pPr>
      <w:r>
        <w:rPr>
          <w:rFonts w:ascii="Verdana" w:eastAsia="Times New Roman" w:hAnsi="Verdana" w:cs="Arial"/>
          <w:b/>
          <w:bCs/>
          <w:iCs/>
          <w:sz w:val="20"/>
          <w:szCs w:val="20"/>
          <w:lang w:val="fr-FR" w:eastAsia="fr-FR"/>
        </w:rPr>
        <w:t>Joindre obligatoirement une copie de la convention instituant le Centre de gestion.</w:t>
      </w:r>
    </w:p>
    <w:p>
      <w:pPr>
        <w:keepNext/>
        <w:spacing w:before="120" w:after="60" w:line="240" w:lineRule="auto"/>
        <w:jc w:val="center"/>
        <w:outlineLvl w:val="2"/>
        <w:rPr>
          <w:sz w:val="24"/>
          <w:lang w:val="fr-FR" w:eastAsia="fr-FR"/>
        </w:rPr>
      </w:pPr>
      <w:r>
        <w:rPr>
          <w:rFonts w:ascii="Verdana" w:eastAsia="Times New Roman" w:hAnsi="Verdana" w:cs="Arial"/>
          <w:bCs/>
          <w:iCs/>
          <w:sz w:val="20"/>
          <w:szCs w:val="20"/>
          <w:lang w:val="fr-FR" w:eastAsia="fr-FR"/>
        </w:rPr>
        <w:t xml:space="preserve">*À remplir uniquement si paiement sur un compte bancaire spécifique pour le centre de gestion. Dans ce cas, joindre un </w:t>
      </w:r>
      <w:r>
        <w:rPr>
          <w:rFonts w:ascii="Verdana" w:eastAsia="Times New Roman" w:hAnsi="Verdana" w:cs="Arial"/>
          <w:b/>
          <w:bCs/>
          <w:iCs/>
          <w:sz w:val="20"/>
          <w:szCs w:val="20"/>
          <w:lang w:val="fr-FR" w:eastAsia="fr-FR"/>
        </w:rPr>
        <w:t>relevé d’identité bancaire</w:t>
      </w:r>
      <w:r>
        <w:rPr>
          <w:rFonts w:ascii="Verdana" w:eastAsia="Times New Roman" w:hAnsi="Verdana" w:cs="Arial"/>
          <w:bCs/>
          <w:iCs/>
          <w:sz w:val="20"/>
          <w:szCs w:val="20"/>
          <w:lang w:val="fr-FR" w:eastAsia="fr-FR"/>
        </w:rPr>
        <w:t xml:space="preserve"> délivré par la banque.</w:t>
      </w:r>
    </w:p>
    <w:sectPr>
      <w:footerReference w:type="default" r:id="rId15"/>
      <w:footnotePr>
        <w:numRestart w:val="eachSect"/>
      </w:footnotePr>
      <w:pgSz w:w="11906" w:h="16838"/>
      <w:pgMar w:top="709" w:right="849" w:bottom="568" w:left="851" w:header="283" w:footer="28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pPr>
  </w:p>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641570"/>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8</w:t>
        </w:r>
        <w:r>
          <w:fldChar w:fldCharType="end"/>
        </w:r>
      </w:p>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9538715"/>
      <w:docPartObj>
        <w:docPartGallery w:val="Page Numbers (Bottom of Page)"/>
        <w:docPartUnique/>
      </w:docPartObj>
    </w:sdtPr>
    <w:sdtContent>
      <w:p>
        <w:pPr>
          <w:pStyle w:val="Pieddepage"/>
          <w:jc w:val="right"/>
        </w:pPr>
        <w:r>
          <w:t>Annexe 1 – Constitution partenariat</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000689"/>
      <w:docPartObj>
        <w:docPartGallery w:val="Page Numbers (Bottom of Page)"/>
        <w:docPartUnique/>
      </w:docPartObj>
    </w:sdtPr>
    <w:sdtContent>
      <w:p>
        <w:pPr>
          <w:pStyle w:val="Pieddepage"/>
          <w:jc w:val="right"/>
        </w:pPr>
        <w:r>
          <w:t>Annexe 2 – Demande transformation moyens en périodes</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369895"/>
      <w:docPartObj>
        <w:docPartGallery w:val="Page Numbers (Bottom of Page)"/>
        <w:docPartUnique/>
      </w:docPartObj>
    </w:sdtPr>
    <w:sdtContent>
      <w:p>
        <w:pPr>
          <w:pStyle w:val="Pieddepage"/>
          <w:jc w:val="right"/>
        </w:pPr>
        <w:r>
          <w:t>Annexe 3 – Création C.G. – Enseignement subventionné</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660465"/>
      <w:docPartObj>
        <w:docPartGallery w:val="Page Numbers (Bottom of Page)"/>
        <w:docPartUnique/>
      </w:docPartObj>
    </w:sdtPr>
    <w:sdtContent>
      <w:p>
        <w:pPr>
          <w:pStyle w:val="Pieddepage"/>
          <w:jc w:val="right"/>
        </w:pPr>
        <w:r>
          <w:t>Annexe 4 – Création C.G. – Enseignement organisé par la FWB</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pPr>
      <w:r>
        <w:rPr>
          <w:rStyle w:val="Appelnotedebasdep"/>
        </w:rPr>
        <w:footnoteRef/>
      </w:r>
      <w:r>
        <w:t xml:space="preserve"> Pour les écoles partenaires d’un centre de gestion, la possibilité d’utilisation d’un solde de moins de 5.000 euros pour l’achat de matériel doit s’entendre au niveau du solde total mutualisé au sein du centre de gestion.</w:t>
      </w:r>
    </w:p>
    <w:p>
      <w:pPr>
        <w:pStyle w:val="Notedebasdepage"/>
      </w:pPr>
    </w:p>
  </w:footnote>
  <w:footnote w:id="2">
    <w:p>
      <w:pPr>
        <w:pStyle w:val="Notedebasdepage"/>
      </w:pPr>
      <w:r>
        <w:rPr>
          <w:rStyle w:val="Appelnotedebasdep"/>
        </w:rPr>
        <w:footnoteRef/>
      </w:r>
      <w:r>
        <w:t xml:space="preserve"> Pour l’enseignement fondamental ordinaire, en tenant compte des coefficients préférentiels 1,5.</w:t>
      </w:r>
    </w:p>
  </w:footnote>
  <w:footnote w:id="3">
    <w:p>
      <w:pPr>
        <w:pStyle w:val="Notedebasdepage"/>
      </w:pPr>
      <w:r>
        <w:rPr>
          <w:rStyle w:val="Appelnotedebasdep"/>
        </w:rPr>
        <w:footnoteRef/>
      </w:r>
      <w:r>
        <w:t xml:space="preserve"> Le cas échéant, cela doit être précisé dans la convention.</w:t>
      </w:r>
    </w:p>
  </w:footnote>
  <w:footnote w:id="4">
    <w:p>
      <w:pPr>
        <w:pStyle w:val="Notedebasdepage"/>
      </w:pPr>
      <w:r>
        <w:rPr>
          <w:rStyle w:val="Appelnotedebasdep"/>
        </w:rPr>
        <w:footnoteRef/>
      </w:r>
      <w:r>
        <w:t xml:space="preserve"> Correspondant à la fonction d’origine du directeur, à savoir la fonction prestée dans ses heures de classe.</w:t>
      </w:r>
    </w:p>
  </w:footnote>
  <w:footnote w:id="5">
    <w:p>
      <w:pPr>
        <w:pStyle w:val="Notedebasdepage"/>
      </w:pPr>
      <w:r>
        <w:rPr>
          <w:rStyle w:val="Appelnotedebasdep"/>
        </w:rPr>
        <w:footnoteRef/>
      </w:r>
      <w:r>
        <w:t xml:space="preserve"> Pour le calcul des 1000 élèves, sont prises en compte les écoles de moins de 180 élèves pour l’enseignement ordinaire ou 60 élèves pour l’enseignement spécialisé adhérant au centre de gestion. Par conséquent, ces directions avec classes reçoivent également une aide spécifique sous la forme de moyens financiers.</w:t>
      </w:r>
    </w:p>
  </w:footnote>
  <w:footnote w:id="6">
    <w:p>
      <w:pPr>
        <w:pStyle w:val="Notedebasdepage"/>
      </w:pPr>
      <w:r>
        <w:rPr>
          <w:rStyle w:val="Appelnotedebasdep"/>
        </w:rPr>
        <w:footnoteRef/>
      </w:r>
      <w:r>
        <w:t xml:space="preserve"> La convention peut couvrir plusieurs années scolaires.</w:t>
      </w:r>
    </w:p>
  </w:footnote>
  <w:footnote w:id="7">
    <w:p>
      <w:pPr>
        <w:pStyle w:val="Notedebasdepage"/>
      </w:pPr>
      <w:r>
        <w:rPr>
          <w:rStyle w:val="Appelnotedebasdep"/>
        </w:rPr>
        <w:footnoteRef/>
      </w:r>
      <w:r>
        <w:t xml:space="preserve"> Nombres d’élèves « encadrement » régulièrement inscrits au sein de l’école au 15 janvier précédant la date d’entrée en vigueur du partenariat.</w:t>
      </w:r>
    </w:p>
  </w:footnote>
  <w:footnote w:id="8">
    <w:p>
      <w:pPr>
        <w:pStyle w:val="Notedebasdepage"/>
      </w:pPr>
      <w:r>
        <w:rPr>
          <w:rStyle w:val="Appelnotedebasdep"/>
        </w:rPr>
        <w:footnoteRef/>
      </w:r>
      <w:r>
        <w:t xml:space="preserve"> Biffer la mention inutile.</w:t>
      </w:r>
    </w:p>
  </w:footnote>
  <w:footnote w:id="9">
    <w:p>
      <w:pPr>
        <w:pStyle w:val="Notedebasdepage"/>
      </w:pPr>
      <w:r>
        <w:rPr>
          <w:rStyle w:val="Appelnotedebasdep"/>
        </w:rPr>
        <w:footnoteRef/>
      </w:r>
      <w:r>
        <w:t xml:space="preserve"> Renseigner la fonction d’origine du directeur, à savoir la fonction prestée dans ses heures de classe (voir fonctions reprises dans les tableaux 1 et 2 du point 2.2. de la présente circulaire).</w:t>
      </w:r>
    </w:p>
  </w:footnote>
  <w:footnote w:id="10">
    <w:p>
      <w:pPr>
        <w:pStyle w:val="Notedebasdepage"/>
      </w:pPr>
      <w:r>
        <w:rPr>
          <w:rStyle w:val="Appelnotedebasdep"/>
        </w:rPr>
        <w:footnoteRef/>
      </w:r>
      <w:r>
        <w:t xml:space="preserve"> Cette possibilité de transformation en capital-périodes n’est pas ouverte aux établissements qui comptent au moins 180 élèves « encadrement » au 15 janvier précédent, seuls ou via une éventuelle convention de partenariat.</w:t>
      </w:r>
    </w:p>
  </w:footnote>
  <w:footnote w:id="11">
    <w:p>
      <w:pPr>
        <w:pStyle w:val="Notedebasdepage"/>
      </w:pPr>
      <w:r>
        <w:rPr>
          <w:rStyle w:val="Appelnotedebasdep"/>
        </w:rPr>
        <w:footnoteRef/>
      </w:r>
      <w:r>
        <w:t xml:space="preserve"> Biffer la mention inutile.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60B3E"/>
    <w:multiLevelType w:val="hybridMultilevel"/>
    <w:tmpl w:val="64C69FE4"/>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375690D"/>
    <w:multiLevelType w:val="hybridMultilevel"/>
    <w:tmpl w:val="A5C2A30A"/>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2C6D052C"/>
    <w:multiLevelType w:val="hybridMultilevel"/>
    <w:tmpl w:val="DEA4E43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37F274E6"/>
    <w:multiLevelType w:val="multilevel"/>
    <w:tmpl w:val="E8A497A2"/>
    <w:lvl w:ilvl="0">
      <w:start w:val="1"/>
      <w:numFmt w:val="decimal"/>
      <w:lvlText w:val="%1."/>
      <w:lvlJc w:val="left"/>
      <w:pPr>
        <w:ind w:left="720" w:hanging="360"/>
      </w:pPr>
      <w:rPr>
        <w:rFonts w:hint="default"/>
      </w:rPr>
    </w:lvl>
    <w:lvl w:ilvl="1">
      <w:start w:val="1"/>
      <w:numFmt w:val="decimal"/>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4EDE726F"/>
    <w:multiLevelType w:val="multilevel"/>
    <w:tmpl w:val="67884030"/>
    <w:lvl w:ilvl="0">
      <w:start w:val="1"/>
      <w:numFmt w:val="decimal"/>
      <w:pStyle w:val="Chapitre"/>
      <w:lvlText w:val="%1."/>
      <w:lvlJc w:val="left"/>
      <w:pPr>
        <w:ind w:left="340" w:hanging="340"/>
      </w:pPr>
      <w:rPr>
        <w:rFonts w:hint="default"/>
      </w:rPr>
    </w:lvl>
    <w:lvl w:ilvl="1">
      <w:start w:val="1"/>
      <w:numFmt w:val="decimal"/>
      <w:pStyle w:val="Sous-chapitre"/>
      <w:isLgl/>
      <w:lvlText w:val="%1.%2."/>
      <w:lvlJc w:val="left"/>
      <w:pPr>
        <w:ind w:left="454" w:hanging="454"/>
      </w:pPr>
      <w:rPr>
        <w:rFonts w:hint="default"/>
      </w:rPr>
    </w:lvl>
    <w:lvl w:ilvl="2">
      <w:start w:val="1"/>
      <w:numFmt w:val="decimal"/>
      <w:isLgl/>
      <w:lvlText w:val="%1.%2.%3."/>
      <w:lvlJc w:val="left"/>
      <w:pPr>
        <w:ind w:left="680" w:hanging="680"/>
      </w:pPr>
      <w:rPr>
        <w:rFonts w:hint="default"/>
      </w:rPr>
    </w:lvl>
    <w:lvl w:ilvl="3">
      <w:start w:val="1"/>
      <w:numFmt w:val="decimal"/>
      <w:isLgl/>
      <w:lvlText w:val="%1.%2.%3.%4."/>
      <w:lvlJc w:val="left"/>
      <w:pPr>
        <w:ind w:left="2367" w:hanging="1080"/>
      </w:pPr>
      <w:rPr>
        <w:rFonts w:hint="default"/>
      </w:rPr>
    </w:lvl>
    <w:lvl w:ilvl="4">
      <w:start w:val="1"/>
      <w:numFmt w:val="decimal"/>
      <w:isLgl/>
      <w:lvlText w:val="%1.%2.%3.%4.%5."/>
      <w:lvlJc w:val="left"/>
      <w:pPr>
        <w:ind w:left="2557" w:hanging="1080"/>
      </w:pPr>
      <w:rPr>
        <w:rFonts w:hint="default"/>
      </w:rPr>
    </w:lvl>
    <w:lvl w:ilvl="5">
      <w:start w:val="1"/>
      <w:numFmt w:val="decimal"/>
      <w:isLgl/>
      <w:lvlText w:val="%1.%2.%3.%4.%5.%6."/>
      <w:lvlJc w:val="left"/>
      <w:pPr>
        <w:ind w:left="3107" w:hanging="1440"/>
      </w:pPr>
      <w:rPr>
        <w:rFonts w:hint="default"/>
      </w:rPr>
    </w:lvl>
    <w:lvl w:ilvl="6">
      <w:start w:val="1"/>
      <w:numFmt w:val="decimal"/>
      <w:isLgl/>
      <w:lvlText w:val="%1.%2.%3.%4.%5.%6.%7."/>
      <w:lvlJc w:val="left"/>
      <w:pPr>
        <w:ind w:left="3297" w:hanging="1440"/>
      </w:pPr>
      <w:rPr>
        <w:rFonts w:hint="default"/>
      </w:rPr>
    </w:lvl>
    <w:lvl w:ilvl="7">
      <w:start w:val="1"/>
      <w:numFmt w:val="decimal"/>
      <w:isLgl/>
      <w:lvlText w:val="%1.%2.%3.%4.%5.%6.%7.%8."/>
      <w:lvlJc w:val="left"/>
      <w:pPr>
        <w:ind w:left="3847" w:hanging="1800"/>
      </w:pPr>
      <w:rPr>
        <w:rFonts w:hint="default"/>
      </w:rPr>
    </w:lvl>
    <w:lvl w:ilvl="8">
      <w:start w:val="1"/>
      <w:numFmt w:val="decimal"/>
      <w:isLgl/>
      <w:lvlText w:val="%1.%2.%3.%4.%5.%6.%7.%8.%9."/>
      <w:lvlJc w:val="left"/>
      <w:pPr>
        <w:ind w:left="4037" w:hanging="1800"/>
      </w:pPr>
      <w:rPr>
        <w:rFonts w:hint="default"/>
      </w:rPr>
    </w:lvl>
  </w:abstractNum>
  <w:abstractNum w:abstractNumId="5" w15:restartNumberingAfterBreak="0">
    <w:nsid w:val="577C03E4"/>
    <w:multiLevelType w:val="hybridMultilevel"/>
    <w:tmpl w:val="7A2E96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BDB1A49"/>
    <w:multiLevelType w:val="hybridMultilevel"/>
    <w:tmpl w:val="5EBE11C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6E8F284F"/>
    <w:multiLevelType w:val="hybridMultilevel"/>
    <w:tmpl w:val="38903FD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6EAE5491"/>
    <w:multiLevelType w:val="hybridMultilevel"/>
    <w:tmpl w:val="D40ECE72"/>
    <w:lvl w:ilvl="0" w:tplc="080C000D">
      <w:start w:val="1"/>
      <w:numFmt w:val="bullet"/>
      <w:lvlText w:val=""/>
      <w:lvlJc w:val="left"/>
      <w:pPr>
        <w:ind w:left="720" w:hanging="360"/>
      </w:pPr>
      <w:rPr>
        <w:rFonts w:ascii="Wingdings" w:hAnsi="Wingding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74541DE4"/>
    <w:multiLevelType w:val="hybridMultilevel"/>
    <w:tmpl w:val="31D421AC"/>
    <w:lvl w:ilvl="0" w:tplc="1EE22FEE">
      <w:start w:val="1"/>
      <w:numFmt w:val="bullet"/>
      <w:lvlText w:val=""/>
      <w:lvlJc w:val="left"/>
      <w:pPr>
        <w:ind w:left="284" w:hanging="284"/>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9"/>
  </w:num>
  <w:num w:numId="4">
    <w:abstractNumId w:val="7"/>
  </w:num>
  <w:num w:numId="5">
    <w:abstractNumId w:val="0"/>
  </w:num>
  <w:num w:numId="6">
    <w:abstractNumId w:val="4"/>
  </w:num>
  <w:num w:numId="7">
    <w:abstractNumId w:val="3"/>
  </w:num>
  <w:num w:numId="8">
    <w:abstractNumId w:val="6"/>
  </w:num>
  <w:num w:numId="9">
    <w:abstractNumId w:val="1"/>
  </w:num>
  <w:num w:numId="10">
    <w:abstractNumId w:val="4"/>
  </w:num>
  <w:num w:numId="11">
    <w:abstractNumId w:val="2"/>
  </w:num>
  <w:num w:numId="12">
    <w:abstractNumId w:val="5"/>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5:chartTrackingRefBased/>
  <w15:docId w15:val="{873278A7-232A-4D93-A21A-CC7E2E10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pitre">
    <w:name w:val="Chapitre"/>
    <w:basedOn w:val="Paragraphedeliste"/>
    <w:autoRedefine/>
    <w:qFormat/>
    <w:pPr>
      <w:numPr>
        <w:numId w:val="1"/>
      </w:numPr>
      <w:spacing w:before="480" w:after="240"/>
      <w:contextualSpacing w:val="0"/>
    </w:pPr>
    <w:rPr>
      <w:b/>
      <w:sz w:val="28"/>
      <w:szCs w:val="28"/>
      <w:lang w:val="fr-FR"/>
    </w:rPr>
  </w:style>
  <w:style w:type="paragraph" w:styleId="Paragraphedeliste">
    <w:name w:val="List Paragraph"/>
    <w:basedOn w:val="Normal"/>
    <w:uiPriority w:val="34"/>
    <w:qFormat/>
    <w:pPr>
      <w:ind w:left="720"/>
      <w:contextualSpacing/>
    </w:pPr>
  </w:style>
  <w:style w:type="paragraph" w:customStyle="1" w:styleId="Sous-chapitre">
    <w:name w:val="Sous-chapitre"/>
    <w:basedOn w:val="Chapitre"/>
    <w:autoRedefine/>
    <w:qFormat/>
    <w:pPr>
      <w:numPr>
        <w:ilvl w:val="1"/>
      </w:numPr>
      <w:spacing w:before="240"/>
    </w:pPr>
    <w:rPr>
      <w:sz w:val="24"/>
      <w:u w:val="single"/>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rFonts w:ascii="Calibri" w:eastAsia="Calibri" w:hAnsi="Calibri" w:cs="Times New Roman"/>
      <w:sz w:val="20"/>
      <w:szCs w:val="20"/>
    </w:rPr>
  </w:style>
  <w:style w:type="character" w:styleId="Appelnotedebasdep">
    <w:name w:val="footnote reference"/>
    <w:basedOn w:val="Policepardfaut"/>
    <w:uiPriority w:val="99"/>
    <w:semiHidden/>
    <w:unhideWhenUsed/>
    <w:rPr>
      <w:vertAlign w:val="superscript"/>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Calibri" w:eastAsia="Calibri" w:hAnsi="Calibri" w:cs="Times New Roman"/>
    </w:rPr>
  </w:style>
  <w:style w:type="table" w:customStyle="1" w:styleId="Grilledutableau1">
    <w:name w:val="Grille du tableau1"/>
    <w:basedOn w:val="TableauNormal"/>
    <w:next w:val="Grilledutableau"/>
    <w:uiPriority w:val="3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paragraph" w:styleId="Lgende">
    <w:name w:val="caption"/>
    <w:basedOn w:val="Normal"/>
    <w:next w:val="Normal"/>
    <w:uiPriority w:val="35"/>
    <w:semiHidden/>
    <w:unhideWhenUsed/>
    <w:qFormat/>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mailto:secretariat.fondamental@cfwb.be" TargetMode="External"/><Relationship Id="rId4" Type="http://schemas.openxmlformats.org/officeDocument/2006/relationships/settings" Target="settings.xml"/><Relationship Id="rId9" Type="http://schemas.openxmlformats.org/officeDocument/2006/relationships/hyperlink" Target="mailto:secretariat.fondamental@cfwb.be" TargetMode="External"/><Relationship Id="rId14"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B275-B31A-4B2E-9DBA-88FA6579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3734</Words>
  <Characters>20537</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SIMONIS Sophie</dc:creator>
  <cp:keywords/>
  <dc:description/>
  <cp:lastModifiedBy>CELLAURO Giuseppina</cp:lastModifiedBy>
  <cp:revision>2</cp:revision>
  <cp:lastPrinted>2019-05-14T07:32:00Z</cp:lastPrinted>
  <dcterms:created xsi:type="dcterms:W3CDTF">2019-06-06T07:58:00Z</dcterms:created>
  <dcterms:modified xsi:type="dcterms:W3CDTF">2019-06-06T07:58:00Z</dcterms:modified>
</cp:coreProperties>
</file>